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3ED" w:rsidRDefault="00082AEC">
      <w:pPr>
        <w:jc w:val="right"/>
        <w:rPr>
          <w:rFonts w:ascii="Arial" w:eastAsia="Arial" w:hAnsi="Arial" w:cs="Arial"/>
          <w:b/>
          <w:bCs/>
          <w:sz w:val="22"/>
          <w:szCs w:val="22"/>
        </w:rPr>
      </w:pPr>
      <w:bookmarkStart w:id="0" w:name="_GoBack"/>
      <w:bookmarkEnd w:id="0"/>
      <w:r>
        <w:rPr>
          <w:rFonts w:ascii="Arial" w:eastAsia="Arial" w:hAnsi="Arial" w:cs="Arial"/>
          <w:b/>
          <w:bCs/>
          <w:sz w:val="22"/>
          <w:szCs w:val="22"/>
        </w:rPr>
        <w:t>CP/1464/2026</w:t>
      </w:r>
    </w:p>
    <w:p w:rsidR="00B463ED" w:rsidRDefault="00082AEC">
      <w:pPr>
        <w:jc w:val="right"/>
        <w:rPr>
          <w:rFonts w:ascii="Arial" w:eastAsia="Arial" w:hAnsi="Arial" w:cs="Arial"/>
          <w:sz w:val="22"/>
          <w:szCs w:val="22"/>
        </w:rPr>
      </w:pPr>
      <w:r>
        <w:rPr>
          <w:rFonts w:ascii="Arial" w:eastAsia="Arial" w:hAnsi="Arial" w:cs="Arial"/>
          <w:sz w:val="22"/>
          <w:szCs w:val="22"/>
        </w:rPr>
        <w:t>15 de octubre de 2026</w:t>
      </w:r>
    </w:p>
    <w:p w:rsidR="00B463ED" w:rsidRDefault="00082AEC">
      <w:pPr>
        <w:jc w:val="right"/>
        <w:rPr>
          <w:rFonts w:ascii="Arial" w:eastAsia="Arial" w:hAnsi="Arial" w:cs="Arial"/>
          <w:sz w:val="22"/>
          <w:szCs w:val="22"/>
        </w:rPr>
      </w:pPr>
      <w:r>
        <w:rPr>
          <w:rFonts w:ascii="Arial" w:eastAsia="Arial" w:hAnsi="Arial" w:cs="Arial"/>
          <w:sz w:val="22"/>
          <w:szCs w:val="22"/>
        </w:rPr>
        <w:t xml:space="preserve"> </w:t>
      </w:r>
    </w:p>
    <w:p w:rsidR="00B463ED" w:rsidRDefault="00B463ED">
      <w:pPr>
        <w:jc w:val="right"/>
        <w:rPr>
          <w:rFonts w:ascii="Arial" w:eastAsia="Arial" w:hAnsi="Arial" w:cs="Arial"/>
          <w:sz w:val="22"/>
          <w:szCs w:val="22"/>
        </w:rPr>
      </w:pPr>
    </w:p>
    <w:p w:rsidR="00B463ED" w:rsidRDefault="00082AEC">
      <w:pPr>
        <w:jc w:val="center"/>
        <w:rPr>
          <w:rFonts w:ascii="Arial" w:eastAsia="Arial" w:hAnsi="Arial" w:cs="Arial"/>
          <w:b/>
          <w:bCs/>
          <w:sz w:val="28"/>
          <w:szCs w:val="28"/>
        </w:rPr>
      </w:pPr>
      <w:bookmarkStart w:id="1" w:name="_lzhd2w89cava" w:colFirst="0" w:colLast="0"/>
      <w:bookmarkEnd w:id="1"/>
      <w:r>
        <w:rPr>
          <w:rFonts w:ascii="Arial" w:eastAsia="Arial" w:hAnsi="Arial" w:cs="Arial"/>
          <w:b/>
          <w:bCs/>
          <w:sz w:val="28"/>
          <w:szCs w:val="28"/>
        </w:rPr>
        <w:t>TIENE TESORERÍA ENCUENTRO CON PLATAFORMAS ARTÍSTICAS Y CULTURALES DE NL</w:t>
      </w:r>
    </w:p>
    <w:p w:rsidR="00B463ED" w:rsidRDefault="00B463ED">
      <w:pPr>
        <w:jc w:val="center"/>
        <w:rPr>
          <w:rFonts w:ascii="Arial" w:eastAsia="Arial" w:hAnsi="Arial" w:cs="Arial"/>
          <w:b/>
          <w:bCs/>
          <w:sz w:val="28"/>
          <w:szCs w:val="28"/>
        </w:rPr>
      </w:pPr>
    </w:p>
    <w:p w:rsidR="00B463ED" w:rsidRDefault="00082AEC">
      <w:pPr>
        <w:numPr>
          <w:ilvl w:val="0"/>
          <w:numId w:val="1"/>
        </w:numPr>
        <w:pBdr>
          <w:top w:val="nil"/>
          <w:left w:val="nil"/>
          <w:bottom w:val="nil"/>
          <w:right w:val="nil"/>
          <w:between w:val="nil"/>
        </w:pBdr>
        <w:jc w:val="both"/>
        <w:rPr>
          <w:i/>
          <w:iCs/>
          <w:color w:val="000000"/>
        </w:rPr>
      </w:pPr>
      <w:r>
        <w:rPr>
          <w:rFonts w:ascii="Arial" w:eastAsia="Arial" w:hAnsi="Arial" w:cs="Arial"/>
          <w:i/>
          <w:iCs/>
        </w:rPr>
        <w:t>Por primera vez, representantes de las principales instituciones y plataformas artísticas de Nuevo León participan directamente en mesas de trabajo sobre el Paquete Fiscal.</w:t>
      </w:r>
    </w:p>
    <w:p w:rsidR="00B463ED" w:rsidRDefault="00B463ED">
      <w:pPr>
        <w:jc w:val="both"/>
        <w:rPr>
          <w:rFonts w:ascii="Arial" w:eastAsia="Arial" w:hAnsi="Arial" w:cs="Arial"/>
          <w:b/>
          <w:bCs/>
          <w:sz w:val="28"/>
          <w:szCs w:val="28"/>
        </w:rPr>
      </w:pPr>
    </w:p>
    <w:p w:rsidR="00B463ED" w:rsidRDefault="00082AEC">
      <w:pPr>
        <w:jc w:val="both"/>
        <w:rPr>
          <w:rFonts w:ascii="Arial" w:eastAsia="Arial" w:hAnsi="Arial" w:cs="Arial"/>
          <w:sz w:val="28"/>
          <w:szCs w:val="28"/>
        </w:rPr>
      </w:pPr>
      <w:r>
        <w:rPr>
          <w:rFonts w:ascii="Arial" w:eastAsia="Arial" w:hAnsi="Arial" w:cs="Arial"/>
          <w:b/>
          <w:bCs/>
          <w:sz w:val="28"/>
          <w:szCs w:val="28"/>
        </w:rPr>
        <w:t>Monterrey, Nuevo León.-</w:t>
      </w:r>
      <w:r>
        <w:rPr>
          <w:rFonts w:ascii="Arial" w:eastAsia="Arial" w:hAnsi="Arial" w:cs="Arial"/>
          <w:sz w:val="28"/>
          <w:szCs w:val="28"/>
        </w:rPr>
        <w:t xml:space="preserve"> Como parte de las mesas de trabajo para la elaboración del</w:t>
      </w:r>
      <w:r>
        <w:rPr>
          <w:rFonts w:ascii="Arial" w:eastAsia="Arial" w:hAnsi="Arial" w:cs="Arial"/>
          <w:sz w:val="28"/>
          <w:szCs w:val="28"/>
        </w:rPr>
        <w:t xml:space="preserve"> Paquete Fiscal 2027, el equipo de la Secretaría de Finanzas y Tesorería General del Estado, encabezado por Ulises Carlin de la Fuente, sostuvo una reunión de trabajo con directivos y representantes de las principales plataformas de promoción cultural y ar</w:t>
      </w:r>
      <w:r>
        <w:rPr>
          <w:rFonts w:ascii="Arial" w:eastAsia="Arial" w:hAnsi="Arial" w:cs="Arial"/>
          <w:sz w:val="28"/>
          <w:szCs w:val="28"/>
        </w:rPr>
        <w:t>tística de la entidad.</w:t>
      </w:r>
    </w:p>
    <w:p w:rsidR="00B463ED" w:rsidRDefault="00B463ED">
      <w:pPr>
        <w:jc w:val="both"/>
        <w:rPr>
          <w:rFonts w:ascii="Arial" w:eastAsia="Arial" w:hAnsi="Arial" w:cs="Arial"/>
          <w:sz w:val="28"/>
          <w:szCs w:val="28"/>
        </w:rPr>
      </w:pPr>
    </w:p>
    <w:p w:rsidR="00B463ED" w:rsidRDefault="00082AEC">
      <w:pPr>
        <w:jc w:val="both"/>
        <w:rPr>
          <w:rFonts w:ascii="Arial" w:eastAsia="Arial" w:hAnsi="Arial" w:cs="Arial"/>
          <w:sz w:val="28"/>
          <w:szCs w:val="28"/>
        </w:rPr>
      </w:pPr>
      <w:r>
        <w:rPr>
          <w:rFonts w:ascii="Arial" w:eastAsia="Arial" w:hAnsi="Arial" w:cs="Arial"/>
          <w:sz w:val="28"/>
          <w:szCs w:val="28"/>
        </w:rPr>
        <w:t>Durante el encuentro, los participantes conocieron los lineamientos generales que integrarán la propuesta presupuestal local, así como aspectos clave del Paquete Fiscal federal que actualmente analiza el Congreso de la Unión.</w:t>
      </w:r>
    </w:p>
    <w:p w:rsidR="00B463ED" w:rsidRDefault="00B463ED">
      <w:pPr>
        <w:jc w:val="both"/>
        <w:rPr>
          <w:rFonts w:ascii="Arial" w:eastAsia="Arial" w:hAnsi="Arial" w:cs="Arial"/>
          <w:sz w:val="28"/>
          <w:szCs w:val="28"/>
        </w:rPr>
      </w:pPr>
    </w:p>
    <w:p w:rsidR="00B463ED" w:rsidRDefault="00082AEC">
      <w:pPr>
        <w:jc w:val="both"/>
        <w:rPr>
          <w:rFonts w:ascii="Arial" w:eastAsia="Arial" w:hAnsi="Arial" w:cs="Arial"/>
          <w:sz w:val="28"/>
          <w:szCs w:val="28"/>
        </w:rPr>
      </w:pPr>
      <w:r>
        <w:rPr>
          <w:rFonts w:ascii="Arial" w:eastAsia="Arial" w:hAnsi="Arial" w:cs="Arial"/>
          <w:sz w:val="28"/>
          <w:szCs w:val="28"/>
        </w:rPr>
        <w:t>Los a</w:t>
      </w:r>
      <w:r>
        <w:rPr>
          <w:rFonts w:ascii="Arial" w:eastAsia="Arial" w:hAnsi="Arial" w:cs="Arial"/>
          <w:sz w:val="28"/>
          <w:szCs w:val="28"/>
        </w:rPr>
        <w:t xml:space="preserve">sistentes destacaron la relevancia de esta convocatoria, señalando que es la primera vez que se les incluye de forma directa en el análisis de temas financieros y presupuestales de esta naturaleza. </w:t>
      </w:r>
    </w:p>
    <w:p w:rsidR="00B463ED" w:rsidRDefault="00B463ED">
      <w:pPr>
        <w:jc w:val="both"/>
        <w:rPr>
          <w:rFonts w:ascii="Arial" w:eastAsia="Arial" w:hAnsi="Arial" w:cs="Arial"/>
          <w:sz w:val="28"/>
          <w:szCs w:val="28"/>
        </w:rPr>
      </w:pPr>
    </w:p>
    <w:p w:rsidR="00B463ED" w:rsidRDefault="00082AEC">
      <w:pPr>
        <w:jc w:val="both"/>
        <w:rPr>
          <w:rFonts w:ascii="Arial" w:eastAsia="Arial" w:hAnsi="Arial" w:cs="Arial"/>
          <w:sz w:val="28"/>
          <w:szCs w:val="28"/>
        </w:rPr>
      </w:pPr>
      <w:r>
        <w:rPr>
          <w:rFonts w:ascii="Arial" w:eastAsia="Arial" w:hAnsi="Arial" w:cs="Arial"/>
          <w:sz w:val="28"/>
          <w:szCs w:val="28"/>
        </w:rPr>
        <w:t>Junto al equipo de la Tesorería, la mesa contó con la pa</w:t>
      </w:r>
      <w:r>
        <w:rPr>
          <w:rFonts w:ascii="Arial" w:eastAsia="Arial" w:hAnsi="Arial" w:cs="Arial"/>
          <w:sz w:val="28"/>
          <w:szCs w:val="28"/>
        </w:rPr>
        <w:t>rticipación de la Secretaria de Cultura estatal, Melissa Segura, y de Alejandro Rodríguez, Subsecretario de Participación y Diversidad Cultural.</w:t>
      </w:r>
    </w:p>
    <w:p w:rsidR="00B463ED" w:rsidRDefault="00B463ED">
      <w:pPr>
        <w:jc w:val="both"/>
        <w:rPr>
          <w:rFonts w:ascii="Arial" w:eastAsia="Arial" w:hAnsi="Arial" w:cs="Arial"/>
          <w:sz w:val="28"/>
          <w:szCs w:val="28"/>
        </w:rPr>
      </w:pPr>
    </w:p>
    <w:p w:rsidR="00B463ED" w:rsidRDefault="00082AEC">
      <w:pPr>
        <w:jc w:val="both"/>
        <w:rPr>
          <w:rFonts w:ascii="Arial" w:eastAsia="Arial" w:hAnsi="Arial" w:cs="Arial"/>
          <w:sz w:val="28"/>
          <w:szCs w:val="28"/>
        </w:rPr>
      </w:pPr>
      <w:r>
        <w:rPr>
          <w:rFonts w:ascii="Arial" w:eastAsia="Arial" w:hAnsi="Arial" w:cs="Arial"/>
          <w:sz w:val="28"/>
          <w:szCs w:val="28"/>
        </w:rPr>
        <w:t xml:space="preserve">De Fidecultural asistió Carmen Junco; de la Escuela Superior de Música y Danza de Monterrey, Lorenza Herrera; </w:t>
      </w:r>
      <w:r>
        <w:rPr>
          <w:rFonts w:ascii="Arial" w:eastAsia="Arial" w:hAnsi="Arial" w:cs="Arial"/>
          <w:sz w:val="28"/>
          <w:szCs w:val="28"/>
        </w:rPr>
        <w:t xml:space="preserve">del Patronato del Festival Internacional Santa Lucía, Victoria </w:t>
      </w:r>
      <w:proofErr w:type="spellStart"/>
      <w:r>
        <w:rPr>
          <w:rFonts w:ascii="Arial" w:eastAsia="Arial" w:hAnsi="Arial" w:cs="Arial"/>
          <w:sz w:val="28"/>
          <w:szCs w:val="28"/>
        </w:rPr>
        <w:t>Kuhne</w:t>
      </w:r>
      <w:proofErr w:type="spellEnd"/>
      <w:r>
        <w:rPr>
          <w:rFonts w:ascii="Arial" w:eastAsia="Arial" w:hAnsi="Arial" w:cs="Arial"/>
          <w:sz w:val="28"/>
          <w:szCs w:val="28"/>
        </w:rPr>
        <w:t xml:space="preserve"> y Erika López; por </w:t>
      </w:r>
      <w:r>
        <w:rPr>
          <w:rFonts w:ascii="Arial" w:eastAsia="Arial" w:hAnsi="Arial" w:cs="Arial"/>
          <w:sz w:val="28"/>
          <w:szCs w:val="28"/>
        </w:rPr>
        <w:lastRenderedPageBreak/>
        <w:t xml:space="preserve">Marco, acudieron, Alfonso Barragán y </w:t>
      </w:r>
      <w:proofErr w:type="spellStart"/>
      <w:r>
        <w:rPr>
          <w:rFonts w:ascii="Arial" w:eastAsia="Arial" w:hAnsi="Arial" w:cs="Arial"/>
          <w:sz w:val="28"/>
          <w:szCs w:val="28"/>
        </w:rPr>
        <w:t>Taiyana</w:t>
      </w:r>
      <w:proofErr w:type="spellEnd"/>
      <w:r>
        <w:rPr>
          <w:rFonts w:ascii="Arial" w:eastAsia="Arial" w:hAnsi="Arial" w:cs="Arial"/>
          <w:sz w:val="28"/>
          <w:szCs w:val="28"/>
        </w:rPr>
        <w:t xml:space="preserve"> Pimentel; de 3 Museos, Claudia </w:t>
      </w:r>
      <w:proofErr w:type="spellStart"/>
      <w:r>
        <w:rPr>
          <w:rFonts w:ascii="Arial" w:eastAsia="Arial" w:hAnsi="Arial" w:cs="Arial"/>
          <w:sz w:val="28"/>
          <w:szCs w:val="28"/>
        </w:rPr>
        <w:t>Yarte</w:t>
      </w:r>
      <w:proofErr w:type="spellEnd"/>
      <w:r>
        <w:rPr>
          <w:rFonts w:ascii="Arial" w:eastAsia="Arial" w:hAnsi="Arial" w:cs="Arial"/>
          <w:sz w:val="28"/>
          <w:szCs w:val="28"/>
        </w:rPr>
        <w:t xml:space="preserve"> de Fernández y Rosy Rodríguez; Ricardo Marcos, de Conarte, así como Carolina Farías, d</w:t>
      </w:r>
      <w:r>
        <w:rPr>
          <w:rFonts w:ascii="Arial" w:eastAsia="Arial" w:hAnsi="Arial" w:cs="Arial"/>
          <w:sz w:val="28"/>
          <w:szCs w:val="28"/>
        </w:rPr>
        <w:t>e Fondo Editorial y Jeannette Clariond de Vaso Roto.</w:t>
      </w:r>
    </w:p>
    <w:p w:rsidR="00B463ED" w:rsidRDefault="00B463ED">
      <w:pPr>
        <w:jc w:val="both"/>
        <w:rPr>
          <w:rFonts w:ascii="Arial" w:eastAsia="Arial" w:hAnsi="Arial" w:cs="Arial"/>
          <w:sz w:val="28"/>
          <w:szCs w:val="28"/>
        </w:rPr>
      </w:pPr>
    </w:p>
    <w:p w:rsidR="00B463ED" w:rsidRDefault="00082AEC">
      <w:pPr>
        <w:jc w:val="both"/>
        <w:rPr>
          <w:rFonts w:ascii="Arial" w:eastAsia="Arial" w:hAnsi="Arial" w:cs="Arial"/>
          <w:sz w:val="28"/>
          <w:szCs w:val="28"/>
        </w:rPr>
      </w:pPr>
      <w:r>
        <w:rPr>
          <w:rFonts w:ascii="Arial" w:eastAsia="Arial" w:hAnsi="Arial" w:cs="Arial"/>
          <w:sz w:val="28"/>
          <w:szCs w:val="28"/>
        </w:rPr>
        <w:t>El Gobierno del Estado refrenda su compromiso de construir un presupuesto transparente, incluyente y sensible a las necesidades de la entidad, como el desarrollo y la proyección del arte.</w:t>
      </w:r>
    </w:p>
    <w:p w:rsidR="00B463ED" w:rsidRDefault="00B463ED">
      <w:pPr>
        <w:jc w:val="both"/>
        <w:rPr>
          <w:rFonts w:ascii="Arial" w:eastAsia="Arial" w:hAnsi="Arial" w:cs="Arial"/>
          <w:sz w:val="28"/>
          <w:szCs w:val="28"/>
        </w:rPr>
      </w:pPr>
    </w:p>
    <w:p w:rsidR="00B463ED" w:rsidRDefault="00B463ED">
      <w:pPr>
        <w:jc w:val="both"/>
        <w:rPr>
          <w:rFonts w:ascii="Arial" w:eastAsia="Arial" w:hAnsi="Arial" w:cs="Arial"/>
          <w:color w:val="323E4F"/>
        </w:rPr>
      </w:pPr>
    </w:p>
    <w:sectPr w:rsidR="00B463ED">
      <w:headerReference w:type="default" r:id="rId7"/>
      <w:footerReference w:type="default" r:id="rId8"/>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82AEC">
      <w:r>
        <w:separator/>
      </w:r>
    </w:p>
  </w:endnote>
  <w:endnote w:type="continuationSeparator" w:id="0">
    <w:p w:rsidR="00000000" w:rsidRDefault="00082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60BBAAE-36D7-4915-8EF4-AD369F6DAC9F}"/>
    <w:embedBold r:id="rId2" w:fontKey="{5889DB53-5F61-441B-B45C-FDE141C713D1}"/>
    <w:embedItalic r:id="rId3" w:fontKey="{9CF01E5A-97F1-4C29-8FC1-C771884323B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566B547-60B5-4A02-A8B5-6DE0E634249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34E11C07-C1D2-41FE-A724-E2E7278FF2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3ED" w:rsidRDefault="00082AEC">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simplePos x="0" y="0"/>
          <wp:positionH relativeFrom="column">
            <wp:posOffset>-1142999</wp:posOffset>
          </wp:positionH>
          <wp:positionV relativeFrom="paragraph">
            <wp:posOffset>32384</wp:posOffset>
          </wp:positionV>
          <wp:extent cx="7783830" cy="133794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rsidR="00B463ED" w:rsidRDefault="00B463ED">
    <w:pPr>
      <w:pBdr>
        <w:top w:val="nil"/>
        <w:left w:val="nil"/>
        <w:bottom w:val="nil"/>
        <w:right w:val="nil"/>
        <w:between w:val="nil"/>
      </w:pBdr>
      <w:tabs>
        <w:tab w:val="center" w:pos="4320"/>
        <w:tab w:val="right" w:pos="8640"/>
      </w:tabs>
      <w:rPr>
        <w:color w:val="000000"/>
      </w:rPr>
    </w:pPr>
  </w:p>
  <w:p w:rsidR="00B463ED" w:rsidRDefault="00B463E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82AEC">
      <w:r>
        <w:separator/>
      </w:r>
    </w:p>
  </w:footnote>
  <w:footnote w:type="continuationSeparator" w:id="0">
    <w:p w:rsidR="00000000" w:rsidRDefault="00082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3ED" w:rsidRDefault="00082AEC">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simplePos x="0" y="0"/>
          <wp:positionH relativeFrom="column">
            <wp:posOffset>-1151889</wp:posOffset>
          </wp:positionH>
          <wp:positionV relativeFrom="paragraph">
            <wp:posOffset>-1170304</wp:posOffset>
          </wp:positionV>
          <wp:extent cx="7792278" cy="1283481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056B3"/>
    <w:multiLevelType w:val="multilevel"/>
    <w:tmpl w:val="8FC26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3ED"/>
    <w:rsid w:val="00082AEC"/>
    <w:rsid w:val="00B463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C42979-B89A-405D-BE2C-EC9E4F074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Words>
  <Characters>1601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Reynaldo Escalante De Leon</dc:creator>
  <cp:lastModifiedBy>Reynaldo Escalante de leon</cp:lastModifiedBy>
  <cp:revision>2</cp:revision>
  <dcterms:created xsi:type="dcterms:W3CDTF">2026-10-15T21:42:00Z</dcterms:created>
  <dcterms:modified xsi:type="dcterms:W3CDTF">2026-10-15T21:42:00Z</dcterms:modified>
</cp:coreProperties>
</file>