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1E9" w:rsidRDefault="00F12C09">
      <w:pPr>
        <w:jc w:val="right"/>
        <w:rPr>
          <w:rFonts w:ascii="Arial" w:eastAsia="Arial" w:hAnsi="Arial" w:cs="Arial"/>
          <w:b/>
          <w:bCs/>
          <w:sz w:val="22"/>
          <w:szCs w:val="22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22"/>
          <w:szCs w:val="22"/>
        </w:rPr>
        <w:t>CP/1482/2026</w:t>
      </w:r>
    </w:p>
    <w:p w:rsidR="006711E9" w:rsidRDefault="00F12C09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18 de octubre de 2026</w:t>
      </w:r>
    </w:p>
    <w:p w:rsidR="006711E9" w:rsidRDefault="006711E9">
      <w:pPr>
        <w:rPr>
          <w:rFonts w:ascii="Arial" w:eastAsia="Arial" w:hAnsi="Arial" w:cs="Arial"/>
          <w:sz w:val="22"/>
          <w:szCs w:val="22"/>
        </w:rPr>
      </w:pPr>
    </w:p>
    <w:p w:rsidR="006711E9" w:rsidRDefault="006711E9">
      <w:pPr>
        <w:spacing w:before="240" w:after="240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6711E9" w:rsidRDefault="00F12C09">
      <w:pPr>
        <w:spacing w:before="240" w:after="240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A CINCO AÑOS DE GOBIERNO, MARCA CONTRALORÍA LEGADO CON MAYOR CAPACIDAD DE VIGILANCIA Y TRANSPARENCIA </w:t>
      </w:r>
    </w:p>
    <w:p w:rsidR="006711E9" w:rsidRDefault="006711E9">
      <w:pPr>
        <w:spacing w:before="240" w:after="240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6711E9" w:rsidRDefault="006711E9">
      <w:pPr>
        <w:spacing w:before="240" w:after="240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6711E9" w:rsidRDefault="00F12C09">
      <w:pPr>
        <w:numPr>
          <w:ilvl w:val="0"/>
          <w:numId w:val="1"/>
        </w:numPr>
        <w:spacing w:before="240" w:after="240" w:line="276" w:lineRule="auto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 xml:space="preserve">Con fiscalización, prevención, apertura a la ciudadanía y un legado que se traduce en capacidad institucional, la Contraloría y Transparencia Gubernamental, sí cumple con mejorar la vigilancia de recursos públicos. </w:t>
      </w:r>
    </w:p>
    <w:p w:rsidR="006711E9" w:rsidRDefault="00F12C09">
      <w:pPr>
        <w:numPr>
          <w:ilvl w:val="0"/>
          <w:numId w:val="1"/>
        </w:numPr>
        <w:spacing w:before="240" w:after="240" w:line="276" w:lineRule="auto"/>
        <w:rPr>
          <w:rFonts w:ascii="Arial" w:eastAsia="Arial" w:hAnsi="Arial" w:cs="Arial"/>
          <w:i/>
          <w:iCs/>
        </w:rPr>
      </w:pPr>
      <w:bookmarkStart w:id="1" w:name="_heading=h.v945pmer8bzp" w:colFirst="0" w:colLast="0"/>
      <w:bookmarkEnd w:id="1"/>
      <w:r>
        <w:rPr>
          <w:rFonts w:ascii="Arial" w:eastAsia="Arial" w:hAnsi="Arial" w:cs="Arial"/>
          <w:i/>
          <w:iCs/>
        </w:rPr>
        <w:t>Mediante siete ejes estratégicos enfocad</w:t>
      </w:r>
      <w:r>
        <w:rPr>
          <w:rFonts w:ascii="Arial" w:eastAsia="Arial" w:hAnsi="Arial" w:cs="Arial"/>
          <w:i/>
          <w:iCs/>
        </w:rPr>
        <w:t xml:space="preserve">os en la fiscalización preventiva y transformación digital, mayor cobertura institucional, prevención, transparencia, participación ciudadana, denuncia, y procesos ágiles, la dependencia facilita la rendición de cuentas. </w:t>
      </w:r>
    </w:p>
    <w:p w:rsidR="006711E9" w:rsidRDefault="006711E9">
      <w:pPr>
        <w:rPr>
          <w:rFonts w:ascii="Arial" w:eastAsia="Arial" w:hAnsi="Arial" w:cs="Arial"/>
          <w:i/>
          <w:iCs/>
        </w:rPr>
      </w:pPr>
    </w:p>
    <w:p w:rsidR="006711E9" w:rsidRDefault="00F12C09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Monterrey, Nuevo León.- </w:t>
      </w:r>
      <w:r>
        <w:rPr>
          <w:rFonts w:ascii="Arial" w:eastAsia="Arial" w:hAnsi="Arial" w:cs="Arial"/>
          <w:sz w:val="28"/>
          <w:szCs w:val="28"/>
        </w:rPr>
        <w:t>Con una e</w:t>
      </w:r>
      <w:r>
        <w:rPr>
          <w:rFonts w:ascii="Arial" w:eastAsia="Arial" w:hAnsi="Arial" w:cs="Arial"/>
          <w:sz w:val="28"/>
          <w:szCs w:val="28"/>
        </w:rPr>
        <w:t>strategia de evolución que integra mayor vigilancia, procesos digitales y apertura ciudadana, la Contraloría y Transparencia Gubernamental de Nuevo León continúa incrementando su capacidad institucional a cinco años de la actual Administración.</w:t>
      </w:r>
    </w:p>
    <w:p w:rsidR="006711E9" w:rsidRDefault="00F12C09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Mediante si</w:t>
      </w:r>
      <w:r>
        <w:rPr>
          <w:rFonts w:ascii="Arial" w:eastAsia="Arial" w:hAnsi="Arial" w:cs="Arial"/>
          <w:sz w:val="28"/>
          <w:szCs w:val="28"/>
        </w:rPr>
        <w:t>ete ejes estratégicos, la dependencia encabezada por María Teresa Herrera Tello marca un legado con mejores herramientas que facilitan la rendición de cuentas y espacios abiertos de participación social con la firme convicción de cuidar los recursos del Es</w:t>
      </w:r>
      <w:r>
        <w:rPr>
          <w:rFonts w:ascii="Arial" w:eastAsia="Arial" w:hAnsi="Arial" w:cs="Arial"/>
          <w:sz w:val="28"/>
          <w:szCs w:val="28"/>
        </w:rPr>
        <w:t>tado, fortalecer las instituciones y formar una cultura de integridad para el futuro.</w:t>
      </w:r>
    </w:p>
    <w:p w:rsidR="006711E9" w:rsidRDefault="00F12C09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 través del eje de Fiscalización Preventiva y Transformación Digital, en el quinto año de gobierno, la dependencia reportó la conclusión de 320 auditorías, con el progra</w:t>
      </w:r>
      <w:r>
        <w:rPr>
          <w:rFonts w:ascii="Arial" w:eastAsia="Arial" w:hAnsi="Arial" w:cs="Arial"/>
          <w:sz w:val="28"/>
          <w:szCs w:val="28"/>
        </w:rPr>
        <w:t>ma eficiente basado en riesgos que permite identificar áreas de oportunidad y debilidades en los procesos para establecer recomendaciones.</w:t>
      </w:r>
    </w:p>
    <w:p w:rsidR="006711E9" w:rsidRDefault="00F12C09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Asimismo, se realizaron 344 recomendaciones, orientadas principalmente a mejorar procesos, fortalecer controles y ate</w:t>
      </w:r>
      <w:r>
        <w:rPr>
          <w:rFonts w:ascii="Arial" w:eastAsia="Arial" w:hAnsi="Arial" w:cs="Arial"/>
          <w:sz w:val="28"/>
          <w:szCs w:val="28"/>
        </w:rPr>
        <w:t>nder áreas de oportunidad; y se llevaron a cabo 213 visitas de inspección en Oficialías de Registro Civil, el Instituto de Control Vehicular, el Instituto Registral y Catastral y servicios de transporte público, con encuestas de calidad a usuarios, arqueos</w:t>
      </w:r>
      <w:r>
        <w:rPr>
          <w:rFonts w:ascii="Arial" w:eastAsia="Arial" w:hAnsi="Arial" w:cs="Arial"/>
          <w:sz w:val="28"/>
          <w:szCs w:val="28"/>
        </w:rPr>
        <w:t xml:space="preserve"> de caja, pases de lista al personal de salud y de universidades tecnológicas y politécnicas, como revisiones de obra.</w:t>
      </w:r>
    </w:p>
    <w:p w:rsidR="006711E9" w:rsidRDefault="00F12C09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En Mayor Cobertura Institucional, durante el presente año se amplió la competencia de ocho de los 16 OIC existentes y se incorporaron die</w:t>
      </w:r>
      <w:r>
        <w:rPr>
          <w:rFonts w:ascii="Arial" w:eastAsia="Arial" w:hAnsi="Arial" w:cs="Arial"/>
          <w:sz w:val="28"/>
          <w:szCs w:val="28"/>
        </w:rPr>
        <w:t xml:space="preserve">z entes públicos adicionales a la fiscalización. </w:t>
      </w:r>
    </w:p>
    <w:p w:rsidR="006711E9" w:rsidRDefault="00F12C09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La cobertura institucional y la capacidad de vigilancia pasaron de 18 a 28 entes públicos, elevando el alcance de esta estructura de control.</w:t>
      </w:r>
    </w:p>
    <w:p w:rsidR="006711E9" w:rsidRDefault="00F12C09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Como tercer eje, Mayor Prevención, con el apoyo en la expedición</w:t>
      </w:r>
      <w:r>
        <w:rPr>
          <w:rFonts w:ascii="Arial" w:eastAsia="Arial" w:hAnsi="Arial" w:cs="Arial"/>
          <w:sz w:val="28"/>
          <w:szCs w:val="28"/>
        </w:rPr>
        <w:t xml:space="preserve"> del Código de Ética y el Código de Conducta por parte de la Contralora General de la Contraloría y Transparencia Gubernamental se logró el funcionamiento de 73 Comités de Ética y de Prevención de Conflictos de Interés (CEPCI) en dependencias y entidades d</w:t>
      </w:r>
      <w:r>
        <w:rPr>
          <w:rFonts w:ascii="Arial" w:eastAsia="Arial" w:hAnsi="Arial" w:cs="Arial"/>
          <w:sz w:val="28"/>
          <w:szCs w:val="28"/>
        </w:rPr>
        <w:t>e la administración pública, donde la dependencia participó en 166 sesiones para reforzar la cultura de integridad en el servicio público.</w:t>
      </w:r>
    </w:p>
    <w:p w:rsidR="006711E9" w:rsidRDefault="00F12C09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De igual forma, aumentó la operación de los Comités de Control y Desempeño Institucional (COCODI), hasta alcanzar la </w:t>
      </w:r>
      <w:r>
        <w:rPr>
          <w:rFonts w:ascii="Arial" w:eastAsia="Arial" w:hAnsi="Arial" w:cs="Arial"/>
          <w:sz w:val="28"/>
          <w:szCs w:val="28"/>
        </w:rPr>
        <w:t>integración de 70, los cuales en el último año celebraron 160 sesiones donde la dependencia supervisó los avances en los programas de control interno y gestión de riesgos. Y se capacitó a 11 mil personas servidoras públicas en control interno, prevención d</w:t>
      </w:r>
      <w:r>
        <w:rPr>
          <w:rFonts w:ascii="Arial" w:eastAsia="Arial" w:hAnsi="Arial" w:cs="Arial"/>
          <w:sz w:val="28"/>
          <w:szCs w:val="28"/>
        </w:rPr>
        <w:t>e riesgos, ética e integridad complementó esta estrategia, para establecer bases permanentes de vigilancia y mejora.</w:t>
      </w:r>
    </w:p>
    <w:p w:rsidR="006711E9" w:rsidRDefault="00F12C09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En tanto, en Más Transparencia para optimizar el cumplimiento de las obligaciones y ampliar el acceso ciudadano a los datos públicos, se re</w:t>
      </w:r>
      <w:r>
        <w:rPr>
          <w:rFonts w:ascii="Arial" w:eastAsia="Arial" w:hAnsi="Arial" w:cs="Arial"/>
          <w:sz w:val="28"/>
          <w:szCs w:val="28"/>
        </w:rPr>
        <w:t>diseñó el Portal de Transparencia para facilitar su usabilidad y garantizar el acceso a información en formatos abiertos, promoviendo su consulta y reutilización, y se implementó el Portal de Transparencia Proactiva como mecanismo de apertura gubernamental</w:t>
      </w:r>
      <w:r>
        <w:rPr>
          <w:rFonts w:ascii="Arial" w:eastAsia="Arial" w:hAnsi="Arial" w:cs="Arial"/>
          <w:sz w:val="28"/>
          <w:szCs w:val="28"/>
        </w:rPr>
        <w:t xml:space="preserve"> para poner a disposición de la ciudadanía los contenidos de interés para la ciudadanía.</w:t>
      </w:r>
    </w:p>
    <w:p w:rsidR="006711E9" w:rsidRDefault="00F12C09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Estas acciones contribuyeron a que Nuevo León mantuviera durante 2025 una calificación superior al 98% en el cumplimiento de las obligaciones de transparencia.</w:t>
      </w:r>
    </w:p>
    <w:p w:rsidR="006711E9" w:rsidRDefault="00F12C09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El Port</w:t>
      </w:r>
      <w:r>
        <w:rPr>
          <w:rFonts w:ascii="Arial" w:eastAsia="Arial" w:hAnsi="Arial" w:cs="Arial"/>
          <w:sz w:val="28"/>
          <w:szCs w:val="28"/>
        </w:rPr>
        <w:t>al de Transparencia obtuvo, por segundo año consecutivo, el Premio Internacional OX, en reconocimiento a la publicación de datos, la facilidad de navegación y la actualización constante.</w:t>
      </w:r>
    </w:p>
    <w:p w:rsidR="006711E9" w:rsidRDefault="00F12C09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Para aumentar la Participación Ciudadana, desde el inicio de la admin</w:t>
      </w:r>
      <w:r>
        <w:rPr>
          <w:rFonts w:ascii="Arial" w:eastAsia="Arial" w:hAnsi="Arial" w:cs="Arial"/>
          <w:sz w:val="28"/>
          <w:szCs w:val="28"/>
        </w:rPr>
        <w:t>istración y hasta septiembre de 2026, se conformaron 1 mil 715 Comités de Contraloría Social en 48 de los 51 municipios del estado, con la participación de más de 4 mil 629 ciudadanas y ciudadanos. En el mismo periodo acumulado, 7 mil 335 personas fueron b</w:t>
      </w:r>
      <w:r>
        <w:rPr>
          <w:rFonts w:ascii="Arial" w:eastAsia="Arial" w:hAnsi="Arial" w:cs="Arial"/>
          <w:sz w:val="28"/>
          <w:szCs w:val="28"/>
        </w:rPr>
        <w:t>eneficiadas y capacitadas mediante estas acciones.</w:t>
      </w:r>
    </w:p>
    <w:p w:rsidR="006711E9" w:rsidRDefault="00F12C09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La participación ciudadana en la vigilancia de las compras públicas también se expresa en los 110 neoleonesas y neoleoneses acreditados como testigos sociales, resultado de diversas convocatorias y acciones de formación.</w:t>
      </w:r>
    </w:p>
    <w:p w:rsidR="006711E9" w:rsidRDefault="00F12C09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Como sexto eje, Mayor Apertura para</w:t>
      </w:r>
      <w:r>
        <w:rPr>
          <w:rFonts w:ascii="Arial" w:eastAsia="Arial" w:hAnsi="Arial" w:cs="Arial"/>
          <w:sz w:val="28"/>
          <w:szCs w:val="28"/>
        </w:rPr>
        <w:t xml:space="preserve"> Denunciar, se creó el portal Nuevo León Incorruptible, un sitio didáctico que orienta sobre qué, cómo y a quién denunciar.</w:t>
      </w:r>
    </w:p>
    <w:p w:rsidR="006711E9" w:rsidRDefault="00F12C09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También se rediseñó CORRUPNET, que permite agregar evidencias de los actos denunciados y dar seguimiento a las denuncias mediante un folio único, a los que se suma Denuncia Móvil, con unidades itinerantes que acercan la Contraloría a la población y se inst</w:t>
      </w:r>
      <w:r>
        <w:rPr>
          <w:rFonts w:ascii="Arial" w:eastAsia="Arial" w:hAnsi="Arial" w:cs="Arial"/>
          <w:sz w:val="28"/>
          <w:szCs w:val="28"/>
        </w:rPr>
        <w:t>alan en edificios de gobierno.</w:t>
      </w:r>
    </w:p>
    <w:p w:rsidR="006711E9" w:rsidRDefault="00F12C09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En el año reportado, la Unidad Anticorrupción recibió 2 mil 353 denuncias. Durante la administración, el registro asciende a 5 mil 931, incluidas 161 denuncias dejadas por la gestión anterior. De ese total, la Unidad ha concl</w:t>
      </w:r>
      <w:r>
        <w:rPr>
          <w:rFonts w:ascii="Arial" w:eastAsia="Arial" w:hAnsi="Arial" w:cs="Arial"/>
          <w:sz w:val="28"/>
          <w:szCs w:val="28"/>
        </w:rPr>
        <w:t>uido 5,720 y mantiene 211 en trámite.</w:t>
      </w:r>
    </w:p>
    <w:p w:rsidR="006711E9" w:rsidRDefault="00F12C09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Y para promover la Cultura de la Legalidad y Combate a la Corrupción, se impartieron en el último año 7 mil 058 capacitaciones mediante el curso en línea de la plataforma Aprendiendo y cursos presenciales.</w:t>
      </w:r>
    </w:p>
    <w:p w:rsidR="006711E9" w:rsidRDefault="00F12C09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Finalmente, </w:t>
      </w:r>
      <w:r>
        <w:rPr>
          <w:rFonts w:ascii="Arial" w:eastAsia="Arial" w:hAnsi="Arial" w:cs="Arial"/>
          <w:sz w:val="28"/>
          <w:szCs w:val="28"/>
        </w:rPr>
        <w:t>para una Fiscalización más ágil, eficiente y transparente, con mayor certeza jurídica se transformó el Sistema de Control de Auditorías, herramienta con la que se iniciaron 56 auditorías electrónicas y se cuenta con 1 mil 059 expedientes digitalizados de a</w:t>
      </w:r>
      <w:r>
        <w:rPr>
          <w:rFonts w:ascii="Arial" w:eastAsia="Arial" w:hAnsi="Arial" w:cs="Arial"/>
          <w:sz w:val="28"/>
          <w:szCs w:val="28"/>
        </w:rPr>
        <w:t>uditorías concluidas.</w:t>
      </w:r>
    </w:p>
    <w:p w:rsidR="006711E9" w:rsidRDefault="00F12C09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Además con programas como “Guardianes de Valores”, convocatorias a concursos de “Contraloría Socia” y “Transparencia en Corto - Desinformación: Riesgos de la IA”, convenios con la Universidad Autónoma de Nuevo León, entre muchas otras</w:t>
      </w:r>
      <w:r>
        <w:rPr>
          <w:rFonts w:ascii="Arial" w:eastAsia="Arial" w:hAnsi="Arial" w:cs="Arial"/>
          <w:sz w:val="28"/>
          <w:szCs w:val="28"/>
        </w:rPr>
        <w:t xml:space="preserve"> acciones, se ofrece de forma concreta un acercamiento de la Contraloría, para aprender desde la infancia, participar desde la comunidad, comunicar desde las plataformas digitales o aportar conocimiento desde la academia.</w:t>
      </w:r>
    </w:p>
    <w:p w:rsidR="006711E9" w:rsidRDefault="006711E9">
      <w:pPr>
        <w:jc w:val="both"/>
        <w:rPr>
          <w:rFonts w:ascii="Arial" w:eastAsia="Arial" w:hAnsi="Arial" w:cs="Arial"/>
          <w:sz w:val="28"/>
          <w:szCs w:val="28"/>
        </w:rPr>
      </w:pPr>
    </w:p>
    <w:sectPr w:rsidR="006711E9">
      <w:headerReference w:type="default" r:id="rId8"/>
      <w:footerReference w:type="default" r:id="rId9"/>
      <w:pgSz w:w="12240" w:h="15840"/>
      <w:pgMar w:top="2516" w:right="1800" w:bottom="1618" w:left="1800" w:header="720" w:footer="15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12C09">
      <w:r>
        <w:separator/>
      </w:r>
    </w:p>
  </w:endnote>
  <w:endnote w:type="continuationSeparator" w:id="0">
    <w:p w:rsidR="00000000" w:rsidRDefault="00F12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B3FE9516-3D32-4DDC-9D73-7C3C11C9088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0AFAB60-8896-4E09-9343-2B3FC116E3FC}"/>
    <w:embedBold r:id="rId3" w:fontKey="{6AEBF44E-82ED-4C1C-830D-AE86F399CF9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68FF49A1-6FB0-46EE-BC96-82C5AA19E49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410B7C06-B32B-4F13-81B6-ED80AA5344F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11E9" w:rsidRDefault="00F12C0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-1142999</wp:posOffset>
          </wp:positionH>
          <wp:positionV relativeFrom="paragraph">
            <wp:posOffset>32384</wp:posOffset>
          </wp:positionV>
          <wp:extent cx="7783830" cy="1337945"/>
          <wp:effectExtent l="0" t="0" r="0" b="0"/>
          <wp:wrapNone/>
          <wp:docPr id="2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t="86716"/>
                  <a:stretch>
                    <a:fillRect/>
                  </a:stretch>
                </pic:blipFill>
                <pic:spPr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711E9" w:rsidRDefault="006711E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:rsidR="006711E9" w:rsidRDefault="006711E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12C09">
      <w:r>
        <w:separator/>
      </w:r>
    </w:p>
  </w:footnote>
  <w:footnote w:type="continuationSeparator" w:id="0">
    <w:p w:rsidR="00000000" w:rsidRDefault="00F12C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11E9" w:rsidRDefault="00F12C0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1173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-1151889</wp:posOffset>
          </wp:positionH>
          <wp:positionV relativeFrom="paragraph">
            <wp:posOffset>-1170304</wp:posOffset>
          </wp:positionV>
          <wp:extent cx="7792278" cy="12834818"/>
          <wp:effectExtent l="0" t="0" r="0" b="0"/>
          <wp:wrapNone/>
          <wp:docPr id="2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60446"/>
    <w:multiLevelType w:val="multilevel"/>
    <w:tmpl w:val="2F4E16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1E9"/>
    <w:rsid w:val="006711E9"/>
    <w:rsid w:val="00F12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655D07A-4352-4A17-98B2-5F1B55024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character" w:customStyle="1" w:styleId="cljk6b">
    <w:name w:val="cljk6b"/>
    <w:basedOn w:val="Fuentedeprrafopredeter"/>
    <w:rsid w:val="003C7021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ZzDAYLOvnnuFkvO5wNQn69s3Sg==">CgMxLjAyDmgudjk0NXBtZXI4YnpwMg5oLnY5NDVwbWVyOGJ6cDgAciExOW9DOWdlQnpNMVBISjJuT2NqcVBudFQ1bC1XMDJLSUs=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988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Prensa</cp:lastModifiedBy>
  <cp:revision>2</cp:revision>
  <dcterms:created xsi:type="dcterms:W3CDTF">2026-10-19T15:49:00Z</dcterms:created>
  <dcterms:modified xsi:type="dcterms:W3CDTF">2026-10-19T15:49:00Z</dcterms:modified>
</cp:coreProperties>
</file>