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jc w:val="right"/>
        <w:rPr>
          <w:rFonts w:ascii="Avenir" w:cs="Avenir" w:eastAsia="Avenir" w:hAnsi="Avenir"/>
          <w:color w:val="000000"/>
        </w:rPr>
      </w:pPr>
      <w:r w:rsidDel="00000000" w:rsidR="00000000" w:rsidRPr="00000000">
        <w:rPr>
          <w:rFonts w:ascii="Avenir" w:cs="Avenir" w:eastAsia="Avenir" w:hAnsi="Avenir"/>
          <w:color w:val="000000"/>
          <w:rtl w:val="0"/>
        </w:rPr>
        <w:t xml:space="preserve">Querétaro, Qro., </w:t>
      </w:r>
      <w:r w:rsidDel="00000000" w:rsidR="00000000" w:rsidRPr="00000000">
        <w:rPr>
          <w:rFonts w:ascii="Avenir" w:cs="Avenir" w:eastAsia="Avenir" w:hAnsi="Avenir"/>
          <w:rtl w:val="0"/>
        </w:rPr>
        <w:t xml:space="preserve">23 de septiembre </w:t>
      </w:r>
      <w:r w:rsidDel="00000000" w:rsidR="00000000" w:rsidRPr="00000000">
        <w:rPr>
          <w:rFonts w:ascii="Avenir" w:cs="Avenir" w:eastAsia="Avenir" w:hAnsi="Avenir"/>
          <w:color w:val="000000"/>
          <w:rtl w:val="0"/>
        </w:rPr>
        <w:t xml:space="preserve">de 2026</w:t>
      </w:r>
    </w:p>
    <w:p w:rsidR="00000000" w:rsidDel="00000000" w:rsidP="00000000" w:rsidRDefault="00000000" w:rsidRPr="00000000" w14:paraId="00000002">
      <w:pPr>
        <w:pBdr>
          <w:top w:space="0" w:sz="0" w:val="nil"/>
          <w:left w:space="0" w:sz="0" w:val="nil"/>
          <w:bottom w:space="0" w:sz="0" w:val="nil"/>
          <w:right w:space="0" w:sz="0" w:val="nil"/>
          <w:between w:space="0" w:sz="0" w:val="nil"/>
        </w:pBdr>
        <w:jc w:val="center"/>
        <w:rPr>
          <w:rFonts w:ascii="Avenir" w:cs="Avenir" w:eastAsia="Avenir" w:hAnsi="Avenir"/>
          <w:color w:val="000000"/>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jc w:val="center"/>
        <w:rPr>
          <w:rFonts w:ascii="Avenir" w:cs="Avenir" w:eastAsia="Avenir" w:hAnsi="Avenir"/>
          <w:b w:val="1"/>
          <w:bCs w:val="1"/>
          <w:color w:val="000000"/>
          <w:sz w:val="26"/>
          <w:szCs w:val="26"/>
        </w:rPr>
      </w:pPr>
      <w:r w:rsidDel="00000000" w:rsidR="00000000" w:rsidRPr="00000000">
        <w:rPr>
          <w:rFonts w:ascii="Avenir" w:cs="Avenir" w:eastAsia="Avenir" w:hAnsi="Avenir"/>
          <w:b w:val="1"/>
          <w:bCs w:val="1"/>
          <w:sz w:val="26"/>
          <w:szCs w:val="26"/>
          <w:rtl w:val="0"/>
        </w:rPr>
        <w:t xml:space="preserve">BOLETÍN </w:t>
      </w:r>
      <w:r w:rsidDel="00000000" w:rsidR="00000000" w:rsidRPr="00000000">
        <w:rPr>
          <w:rFonts w:ascii="Avenir" w:cs="Avenir" w:eastAsia="Avenir" w:hAnsi="Avenir"/>
          <w:b w:val="1"/>
          <w:bCs w:val="1"/>
          <w:color w:val="000000"/>
          <w:sz w:val="26"/>
          <w:szCs w:val="26"/>
          <w:rtl w:val="0"/>
        </w:rPr>
        <w:t xml:space="preserve">6</w:t>
      </w:r>
      <w:r w:rsidDel="00000000" w:rsidR="00000000" w:rsidRPr="00000000">
        <w:rPr>
          <w:rFonts w:ascii="Avenir" w:cs="Avenir" w:eastAsia="Avenir" w:hAnsi="Avenir"/>
          <w:b w:val="1"/>
          <w:bCs w:val="1"/>
          <w:sz w:val="26"/>
          <w:szCs w:val="26"/>
          <w:rtl w:val="0"/>
        </w:rPr>
        <w:t xml:space="preserve">8</w:t>
      </w:r>
      <w:r w:rsidDel="00000000" w:rsidR="00000000" w:rsidRPr="00000000">
        <w:rPr>
          <w:rFonts w:ascii="Avenir" w:cs="Avenir" w:eastAsia="Avenir" w:hAnsi="Avenir"/>
          <w:b w:val="1"/>
          <w:bCs w:val="1"/>
          <w:color w:val="000000"/>
          <w:sz w:val="26"/>
          <w:szCs w:val="26"/>
          <w:rtl w:val="0"/>
        </w:rPr>
        <w:t xml:space="preserve">/26</w:t>
      </w:r>
    </w:p>
    <w:p w:rsidR="00000000" w:rsidDel="00000000" w:rsidP="00000000" w:rsidRDefault="00000000" w:rsidRPr="00000000" w14:paraId="00000004">
      <w:pPr>
        <w:pBdr>
          <w:top w:space="0" w:sz="0" w:val="nil"/>
          <w:left w:space="0" w:sz="0" w:val="nil"/>
          <w:bottom w:space="0" w:sz="0" w:val="nil"/>
          <w:right w:space="0" w:sz="0" w:val="nil"/>
          <w:between w:space="0" w:sz="0" w:val="nil"/>
        </w:pBdr>
        <w:jc w:val="center"/>
        <w:rPr>
          <w:rFonts w:ascii="Avenir" w:cs="Avenir" w:eastAsia="Avenir" w:hAnsi="Avenir"/>
          <w:sz w:val="26"/>
          <w:szCs w:val="26"/>
        </w:rPr>
      </w:pPr>
      <w:r w:rsidDel="00000000" w:rsidR="00000000" w:rsidRPr="00000000">
        <w:rPr>
          <w:rtl w:val="0"/>
        </w:rPr>
      </w:r>
    </w:p>
    <w:p w:rsidR="00000000" w:rsidDel="00000000" w:rsidP="00000000" w:rsidRDefault="00000000" w:rsidRPr="00000000" w14:paraId="00000005">
      <w:pPr>
        <w:jc w:val="center"/>
        <w:rPr>
          <w:rFonts w:ascii="Avenir" w:cs="Avenir" w:eastAsia="Avenir" w:hAnsi="Avenir"/>
          <w:b w:val="1"/>
          <w:bCs w:val="1"/>
          <w:sz w:val="26"/>
          <w:szCs w:val="26"/>
        </w:rPr>
      </w:pPr>
      <w:r w:rsidDel="00000000" w:rsidR="00000000" w:rsidRPr="00000000">
        <w:rPr>
          <w:rFonts w:ascii="Avenir" w:cs="Avenir" w:eastAsia="Avenir" w:hAnsi="Avenir"/>
          <w:b w:val="1"/>
          <w:bCs w:val="1"/>
          <w:sz w:val="26"/>
          <w:szCs w:val="26"/>
          <w:rtl w:val="0"/>
        </w:rPr>
        <w:t xml:space="preserve">Querétaro, referente nacional en materia educativa: Martha Soto</w:t>
      </w:r>
    </w:p>
    <w:p w:rsidR="00000000" w:rsidDel="00000000" w:rsidP="00000000" w:rsidRDefault="00000000" w:rsidRPr="00000000" w14:paraId="00000006">
      <w:pPr>
        <w:jc w:val="center"/>
        <w:rPr>
          <w:rFonts w:ascii="Avenir" w:cs="Avenir" w:eastAsia="Avenir" w:hAnsi="Avenir"/>
        </w:rPr>
      </w:pPr>
      <w:r w:rsidDel="00000000" w:rsidR="00000000" w:rsidRPr="00000000">
        <w:rPr>
          <w:rtl w:val="0"/>
        </w:rPr>
      </w:r>
    </w:p>
    <w:p w:rsidR="00000000" w:rsidDel="00000000" w:rsidP="00000000" w:rsidRDefault="00000000" w:rsidRPr="00000000" w14:paraId="00000007">
      <w:pPr>
        <w:numPr>
          <w:ilvl w:val="0"/>
          <w:numId w:val="1"/>
        </w:numPr>
        <w:ind w:left="720" w:hanging="360"/>
        <w:jc w:val="both"/>
        <w:rPr>
          <w:rFonts w:ascii="Avenir" w:cs="Avenir" w:eastAsia="Avenir" w:hAnsi="Avenir"/>
          <w:sz w:val="22"/>
          <w:szCs w:val="22"/>
        </w:rPr>
      </w:pPr>
      <w:r w:rsidDel="00000000" w:rsidR="00000000" w:rsidRPr="00000000">
        <w:rPr>
          <w:rFonts w:ascii="Avenir" w:cs="Avenir" w:eastAsia="Avenir" w:hAnsi="Avenir"/>
          <w:sz w:val="22"/>
          <w:szCs w:val="22"/>
          <w:rtl w:val="0"/>
        </w:rPr>
        <w:t xml:space="preserve">Durante el último año se impulsaron acciones en educación superior, ciencia, tecnología, infraestructura y deporte, con más de 17 mil estudiantes incorporados a educación superior..</w:t>
      </w:r>
    </w:p>
    <w:p w:rsidR="00000000" w:rsidDel="00000000" w:rsidP="00000000" w:rsidRDefault="00000000" w:rsidRPr="00000000" w14:paraId="00000008">
      <w:pPr>
        <w:numPr>
          <w:ilvl w:val="0"/>
          <w:numId w:val="1"/>
        </w:numPr>
        <w:ind w:left="720" w:hanging="360"/>
        <w:jc w:val="both"/>
        <w:rPr>
          <w:rFonts w:ascii="Avenir" w:cs="Avenir" w:eastAsia="Avenir" w:hAnsi="Avenir"/>
          <w:sz w:val="22"/>
          <w:szCs w:val="22"/>
        </w:rPr>
      </w:pPr>
      <w:r w:rsidDel="00000000" w:rsidR="00000000" w:rsidRPr="00000000">
        <w:rPr>
          <w:rFonts w:ascii="Avenir" w:cs="Avenir" w:eastAsia="Avenir" w:hAnsi="Avenir"/>
          <w:sz w:val="22"/>
          <w:szCs w:val="22"/>
          <w:rtl w:val="0"/>
        </w:rPr>
        <w:t xml:space="preserve">Se destinaron más de 642.23 millones de pesos en infraestructura educativa.</w:t>
      </w:r>
    </w:p>
    <w:p w:rsidR="00000000" w:rsidDel="00000000" w:rsidP="00000000" w:rsidRDefault="00000000" w:rsidRPr="00000000" w14:paraId="00000009">
      <w:pPr>
        <w:spacing w:after="240" w:before="240" w:lineRule="auto"/>
        <w:jc w:val="both"/>
        <w:rPr>
          <w:rFonts w:ascii="Avenir" w:cs="Avenir" w:eastAsia="Avenir" w:hAnsi="Avenir"/>
          <w:color w:val="333333"/>
        </w:rPr>
      </w:pPr>
      <w:r w:rsidDel="00000000" w:rsidR="00000000" w:rsidRPr="00000000">
        <w:rPr>
          <w:rFonts w:ascii="Avenir" w:cs="Avenir" w:eastAsia="Avenir" w:hAnsi="Avenir"/>
          <w:color w:val="333333"/>
          <w:rtl w:val="0"/>
        </w:rPr>
        <w:t xml:space="preserve">La titular de la Secretaría de Educación del Estado (SEDEQ), Martha Soto, presentó la glosa correspondiente al quinto Informe de Gobierno, en la que destacó los resultados, avances y retos alcanzados durante el último año, en conjunto con las 19 instituciones y organismos que la conforman, con el objetivo de continuar posicionando a Querétaro como un referente nacional en materia educativa.</w:t>
      </w:r>
    </w:p>
    <w:p w:rsidR="00000000" w:rsidDel="00000000" w:rsidP="00000000" w:rsidRDefault="00000000" w:rsidRPr="00000000" w14:paraId="0000000A">
      <w:pPr>
        <w:spacing w:after="240" w:before="240" w:lineRule="auto"/>
        <w:jc w:val="both"/>
        <w:rPr>
          <w:rFonts w:ascii="Avenir" w:cs="Avenir" w:eastAsia="Avenir" w:hAnsi="Avenir"/>
          <w:color w:val="333333"/>
        </w:rPr>
      </w:pPr>
      <w:r w:rsidDel="00000000" w:rsidR="00000000" w:rsidRPr="00000000">
        <w:rPr>
          <w:rFonts w:ascii="Avenir" w:cs="Avenir" w:eastAsia="Avenir" w:hAnsi="Avenir"/>
          <w:color w:val="333333"/>
          <w:rtl w:val="0"/>
        </w:rPr>
        <w:t xml:space="preserve">Martha Soto reconoció el liderazgo del gobernador, Mauricio Kuri, con quien se estableció la premisa de que la educación no se improvisa, sino que se planea, se mide y se construye en coordinación con organismos estatales, subsistemas federales, instituciones autónomas y particulares, familias y sectores productivos.</w:t>
      </w:r>
    </w:p>
    <w:p w:rsidR="00000000" w:rsidDel="00000000" w:rsidP="00000000" w:rsidRDefault="00000000" w:rsidRPr="00000000" w14:paraId="0000000B">
      <w:pPr>
        <w:spacing w:after="240" w:before="240" w:lineRule="auto"/>
        <w:jc w:val="both"/>
        <w:rPr>
          <w:rFonts w:ascii="Avenir" w:cs="Avenir" w:eastAsia="Avenir" w:hAnsi="Avenir"/>
          <w:color w:val="333333"/>
        </w:rPr>
      </w:pPr>
      <w:r w:rsidDel="00000000" w:rsidR="00000000" w:rsidRPr="00000000">
        <w:rPr>
          <w:rFonts w:ascii="Avenir" w:cs="Avenir" w:eastAsia="Avenir" w:hAnsi="Avenir"/>
          <w:color w:val="333333"/>
          <w:rtl w:val="0"/>
        </w:rPr>
        <w:t xml:space="preserve">“En Querétaro hemos entendido que educar no es la administración de niveles separados, sino acompañar trayectorias educativas completas, formando a quienes estarán frente a las aulas, impulsando la ciencia, la investigación, y la formación para el trabajo; fortaleciendo la infraestructura educativa y entendiendo el deporte como parte de una formación integral”, señaló.</w:t>
      </w:r>
    </w:p>
    <w:p w:rsidR="00000000" w:rsidDel="00000000" w:rsidP="00000000" w:rsidRDefault="00000000" w:rsidRPr="00000000" w14:paraId="0000000C">
      <w:pPr>
        <w:spacing w:after="240" w:before="240" w:lineRule="auto"/>
        <w:jc w:val="both"/>
        <w:rPr>
          <w:rFonts w:ascii="Avenir" w:cs="Avenir" w:eastAsia="Avenir" w:hAnsi="Avenir"/>
          <w:color w:val="333333"/>
        </w:rPr>
      </w:pPr>
      <w:r w:rsidDel="00000000" w:rsidR="00000000" w:rsidRPr="00000000">
        <w:rPr>
          <w:rFonts w:ascii="Avenir" w:cs="Avenir" w:eastAsia="Avenir" w:hAnsi="Avenir"/>
          <w:color w:val="333333"/>
          <w:rtl w:val="0"/>
        </w:rPr>
        <w:t xml:space="preserve">Actualmente, detalló, el sistema educativo está conformado por 672 mil 516 estudiantes, desde educación inicial hasta posgrado; 39 mil 936 docentes y más de cinco mil 100 escuelas distribuidas en los 18 municipios. A ello, dijo, se suman 32 mil personas en formación para el trabajo y más de mil atletas y entrenadores.</w:t>
      </w:r>
    </w:p>
    <w:p w:rsidR="00000000" w:rsidDel="00000000" w:rsidP="00000000" w:rsidRDefault="00000000" w:rsidRPr="00000000" w14:paraId="0000000D">
      <w:pPr>
        <w:spacing w:after="240" w:before="240" w:lineRule="auto"/>
        <w:jc w:val="both"/>
        <w:rPr>
          <w:rFonts w:ascii="Avenir" w:cs="Avenir" w:eastAsia="Avenir" w:hAnsi="Avenir"/>
          <w:color w:val="333333"/>
        </w:rPr>
      </w:pPr>
      <w:r w:rsidDel="00000000" w:rsidR="00000000" w:rsidRPr="00000000">
        <w:rPr>
          <w:rFonts w:ascii="Avenir" w:cs="Avenir" w:eastAsia="Avenir" w:hAnsi="Avenir"/>
          <w:color w:val="333333"/>
          <w:rtl w:val="0"/>
        </w:rPr>
        <w:t xml:space="preserve">Destacó que Querétaro se posiciona como la segunda entidad con mayor reducción de rezago educativo y ocupa el segundo lugar nacional en promedio de escolaridad, con 11.2 años de estudio; además, es la tercera con menor abandono escolar en el país. Asimismo, señaló que de cada 100 estudiantes que ingresan a la primaria, 57 de ellos terminan una carrera profesional, lo que representa 23 más que el promedio nacional.</w:t>
      </w:r>
    </w:p>
    <w:p w:rsidR="00000000" w:rsidDel="00000000" w:rsidP="00000000" w:rsidRDefault="00000000" w:rsidRPr="00000000" w14:paraId="0000000E">
      <w:pPr>
        <w:spacing w:after="240" w:before="240" w:lineRule="auto"/>
        <w:jc w:val="both"/>
        <w:rPr>
          <w:rFonts w:ascii="Avenir" w:cs="Avenir" w:eastAsia="Avenir" w:hAnsi="Avenir"/>
          <w:color w:val="333333"/>
        </w:rPr>
      </w:pPr>
      <w:r w:rsidDel="00000000" w:rsidR="00000000" w:rsidRPr="00000000">
        <w:rPr>
          <w:rFonts w:ascii="Avenir" w:cs="Avenir" w:eastAsia="Avenir" w:hAnsi="Avenir"/>
          <w:color w:val="333333"/>
          <w:rtl w:val="0"/>
        </w:rPr>
        <w:t xml:space="preserve">Martha Soto añadió que, en lo que respecta a las trayectorias educativas completas desde los primeros años de vida, se impulsó la plataforma Primera Infancia, la cual registró la consulta de 29 mil personas. Agregó que en educación básica pública se fortalecieron los apoyos mediante la entrega de útiles escolares y uniformes deportivos.</w:t>
      </w:r>
    </w:p>
    <w:p w:rsidR="00000000" w:rsidDel="00000000" w:rsidP="00000000" w:rsidRDefault="00000000" w:rsidRPr="00000000" w14:paraId="0000000F">
      <w:pPr>
        <w:spacing w:after="240" w:before="240" w:lineRule="auto"/>
        <w:jc w:val="both"/>
        <w:rPr>
          <w:rFonts w:ascii="Avenir" w:cs="Avenir" w:eastAsia="Avenir" w:hAnsi="Avenir"/>
          <w:color w:val="333333"/>
        </w:rPr>
      </w:pPr>
      <w:r w:rsidDel="00000000" w:rsidR="00000000" w:rsidRPr="00000000">
        <w:rPr>
          <w:rFonts w:ascii="Avenir" w:cs="Avenir" w:eastAsia="Avenir" w:hAnsi="Avenir"/>
          <w:color w:val="333333"/>
          <w:rtl w:val="0"/>
        </w:rPr>
        <w:t xml:space="preserve">Asimismo, reconoció que, en educación indígena, con una matrícula de más de ocho mil 200 estudiantes, se realizaron encuentros pedagógicos y lingüísticos en lengua Ñäñho y se implementaron materiales bilingües enfocados en la lectura y escritura de la lengua originaria.</w:t>
      </w:r>
    </w:p>
    <w:p w:rsidR="00000000" w:rsidDel="00000000" w:rsidP="00000000" w:rsidRDefault="00000000" w:rsidRPr="00000000" w14:paraId="00000010">
      <w:pPr>
        <w:spacing w:after="240" w:before="240" w:lineRule="auto"/>
        <w:jc w:val="both"/>
        <w:rPr>
          <w:rFonts w:ascii="Avenir" w:cs="Avenir" w:eastAsia="Avenir" w:hAnsi="Avenir"/>
          <w:color w:val="333333"/>
        </w:rPr>
      </w:pPr>
      <w:r w:rsidDel="00000000" w:rsidR="00000000" w:rsidRPr="00000000">
        <w:rPr>
          <w:rFonts w:ascii="Avenir" w:cs="Avenir" w:eastAsia="Avenir" w:hAnsi="Avenir"/>
          <w:color w:val="333333"/>
          <w:rtl w:val="0"/>
        </w:rPr>
        <w:t xml:space="preserve">En materia de inclusión educativa, precisó, se atiende a 39 mil 492 estudiantes con alguna discapacidad. Entre las acciones realizadas se encuentran la incorporación del Bachillerato Incluyente en el COBAQ Plantel 10, un nuevo Centro de Atención Múltiple en Huimilpan y la construcción de otro en El Marqués. Asimismo, la Universidad Politécnica de Santa Rosa, primera universidad incluyente del estado, incorporó el Bachillerato Incluyente en CECyTEQ.</w:t>
      </w:r>
    </w:p>
    <w:p w:rsidR="00000000" w:rsidDel="00000000" w:rsidP="00000000" w:rsidRDefault="00000000" w:rsidRPr="00000000" w14:paraId="00000011">
      <w:pPr>
        <w:spacing w:after="240" w:before="240" w:lineRule="auto"/>
        <w:jc w:val="both"/>
        <w:rPr>
          <w:rFonts w:ascii="Avenir" w:cs="Avenir" w:eastAsia="Avenir" w:hAnsi="Avenir"/>
          <w:color w:val="333333"/>
        </w:rPr>
      </w:pPr>
      <w:r w:rsidDel="00000000" w:rsidR="00000000" w:rsidRPr="00000000">
        <w:rPr>
          <w:rFonts w:ascii="Avenir" w:cs="Avenir" w:eastAsia="Avenir" w:hAnsi="Avenir"/>
          <w:color w:val="333333"/>
          <w:rtl w:val="0"/>
        </w:rPr>
        <w:t xml:space="preserve">Para enfrentar el abandono escolar en preparatoria, Martha Soto señaló que, a través del programa Rutas de Aprendizaje, se contó con la participación de 33 mil 875 estudiantes, con evaluaciones en comunicación, matemáticas y ciencias que permitieron diseñar guías de nivelación por plantel e identificar factores de riesgo y permanencia, obteniendo una mejora cercana al 10 por ciento en los aprendizajes. A esto se suma el Programa Estatal de Tutorías, donde estudiantes universitarios acompañan a 20 mil 600 alumnos de bachillerato en estas mismas materias.</w:t>
      </w:r>
    </w:p>
    <w:p w:rsidR="00000000" w:rsidDel="00000000" w:rsidP="00000000" w:rsidRDefault="00000000" w:rsidRPr="00000000" w14:paraId="00000012">
      <w:pPr>
        <w:spacing w:after="240" w:before="240" w:lineRule="auto"/>
        <w:jc w:val="both"/>
        <w:rPr>
          <w:rFonts w:ascii="Avenir" w:cs="Avenir" w:eastAsia="Avenir" w:hAnsi="Avenir"/>
          <w:color w:val="333333"/>
        </w:rPr>
      </w:pPr>
      <w:r w:rsidDel="00000000" w:rsidR="00000000" w:rsidRPr="00000000">
        <w:rPr>
          <w:rFonts w:ascii="Avenir" w:cs="Avenir" w:eastAsia="Avenir" w:hAnsi="Avenir"/>
          <w:color w:val="333333"/>
          <w:rtl w:val="0"/>
        </w:rPr>
        <w:t xml:space="preserve">De igual manera, indicó que, por medio de “Contigo Nadie se Quede Atrás”, se han otorgado más de cinco mil certificados de bachillerato a personas mayores de 18 años y, en colaboración con el INEA, se entregaron 22 mil 503 certificados de alfabetización de primaria o secundaria. En conjunto, durante la actual administración se ha alcanzado un total de 81 mil certificados.</w:t>
      </w:r>
    </w:p>
    <w:p w:rsidR="00000000" w:rsidDel="00000000" w:rsidP="00000000" w:rsidRDefault="00000000" w:rsidRPr="00000000" w14:paraId="00000013">
      <w:pPr>
        <w:spacing w:after="240" w:before="240" w:lineRule="auto"/>
        <w:jc w:val="both"/>
        <w:rPr>
          <w:rFonts w:ascii="Avenir" w:cs="Avenir" w:eastAsia="Avenir" w:hAnsi="Avenir"/>
          <w:color w:val="333333"/>
        </w:rPr>
      </w:pPr>
      <w:r w:rsidDel="00000000" w:rsidR="00000000" w:rsidRPr="00000000">
        <w:rPr>
          <w:rFonts w:ascii="Avenir" w:cs="Avenir" w:eastAsia="Avenir" w:hAnsi="Avenir"/>
          <w:color w:val="333333"/>
          <w:rtl w:val="0"/>
        </w:rPr>
        <w:t xml:space="preserve">La titular de la SEDEQ añadió que en educación superior se sumaron 17 mil 841 estudiantes y el 94.4 por ciento de los municipios cuenta con al menos una opción educativa de este nivel. Asimismo, dijo, la movilidad académica se fortaleció mediante “Beca Embajadores”, con presencia en 18 países y más de mil estudiantes y docentes beneficiados.</w:t>
      </w:r>
    </w:p>
    <w:p w:rsidR="00000000" w:rsidDel="00000000" w:rsidP="00000000" w:rsidRDefault="00000000" w:rsidRPr="00000000" w14:paraId="00000014">
      <w:pPr>
        <w:spacing w:after="240" w:before="240" w:lineRule="auto"/>
        <w:jc w:val="both"/>
        <w:rPr>
          <w:rFonts w:ascii="Avenir" w:cs="Avenir" w:eastAsia="Avenir" w:hAnsi="Avenir"/>
          <w:color w:val="333333"/>
        </w:rPr>
      </w:pPr>
      <w:r w:rsidDel="00000000" w:rsidR="00000000" w:rsidRPr="00000000">
        <w:rPr>
          <w:rFonts w:ascii="Avenir" w:cs="Avenir" w:eastAsia="Avenir" w:hAnsi="Avenir"/>
          <w:color w:val="333333"/>
          <w:rtl w:val="0"/>
        </w:rPr>
        <w:t xml:space="preserve">Añadió que más de tres mil estudiantes de nivel superior concluyeron ocho mil cursos y adquirieron tres mil 200 microcredenciales mediante convenios con la Asociación Mexicana de Data Centers, CIDESI y Santander Universidades. A esto se suma la creación de la Comisión de Alta Tecnología y Cloud Computing, integrada por la SEDEQ, universidades Tecnológicas y Politécnicas, la UAQ, clústeres y asociaciones, para alinear la formación con el sector tecnológico.</w:t>
      </w:r>
    </w:p>
    <w:p w:rsidR="00000000" w:rsidDel="00000000" w:rsidP="00000000" w:rsidRDefault="00000000" w:rsidRPr="00000000" w14:paraId="00000015">
      <w:pPr>
        <w:spacing w:after="240" w:before="240" w:lineRule="auto"/>
        <w:jc w:val="both"/>
        <w:rPr>
          <w:rFonts w:ascii="Avenir" w:cs="Avenir" w:eastAsia="Avenir" w:hAnsi="Avenir"/>
          <w:color w:val="333333"/>
        </w:rPr>
      </w:pPr>
      <w:r w:rsidDel="00000000" w:rsidR="00000000" w:rsidRPr="00000000">
        <w:rPr>
          <w:rFonts w:ascii="Avenir" w:cs="Avenir" w:eastAsia="Avenir" w:hAnsi="Avenir"/>
          <w:color w:val="333333"/>
          <w:rtl w:val="0"/>
        </w:rPr>
        <w:t xml:space="preserve">Como parte de una formación integral, manifestó que más de 32 mil personas se capacitaron durante el último año a través de instituciones públicas y privadas, como ICATEQ e IAOQ, mientras que el Centro Educativo y Cultural del Estado ha brindado talleres, clases, exposiciones artísticas y culturales a más de 350 mil personas.</w:t>
      </w:r>
    </w:p>
    <w:p w:rsidR="00000000" w:rsidDel="00000000" w:rsidP="00000000" w:rsidRDefault="00000000" w:rsidRPr="00000000" w14:paraId="00000016">
      <w:pPr>
        <w:spacing w:after="240" w:before="240" w:lineRule="auto"/>
        <w:jc w:val="both"/>
        <w:rPr>
          <w:rFonts w:ascii="Avenir" w:cs="Avenir" w:eastAsia="Avenir" w:hAnsi="Avenir"/>
          <w:color w:val="333333"/>
        </w:rPr>
      </w:pPr>
      <w:r w:rsidDel="00000000" w:rsidR="00000000" w:rsidRPr="00000000">
        <w:rPr>
          <w:rFonts w:ascii="Avenir" w:cs="Avenir" w:eastAsia="Avenir" w:hAnsi="Avenir"/>
          <w:color w:val="333333"/>
          <w:rtl w:val="0"/>
        </w:rPr>
        <w:t xml:space="preserve">Para fortalecer el seguimiento de las trayectorias educativas, Martha Soto indicó que se creó el Sistema de Estadística y Trayectoria Educativa, herramienta que permite monitorear el progreso académico desde preescolar hasta educación superior y formación laboral. Asimismo, se fortalecieron los mecanismos de consulta sobre instituciones con Reconocimiento de Validez Oficial. En materia de ejercicio profesional, se entregaron dos mil 891 cédulas profesionales estatales en este ciclo, con más de 11 mil expedidas a lo largo de la administración.</w:t>
      </w:r>
    </w:p>
    <w:p w:rsidR="00000000" w:rsidDel="00000000" w:rsidP="00000000" w:rsidRDefault="00000000" w:rsidRPr="00000000" w14:paraId="00000017">
      <w:pPr>
        <w:spacing w:after="240" w:before="240" w:lineRule="auto"/>
        <w:jc w:val="both"/>
        <w:rPr>
          <w:rFonts w:ascii="Avenir" w:cs="Avenir" w:eastAsia="Avenir" w:hAnsi="Avenir"/>
          <w:color w:val="333333"/>
        </w:rPr>
      </w:pPr>
      <w:r w:rsidDel="00000000" w:rsidR="00000000" w:rsidRPr="00000000">
        <w:rPr>
          <w:rFonts w:ascii="Avenir" w:cs="Avenir" w:eastAsia="Avenir" w:hAnsi="Avenir"/>
          <w:color w:val="333333"/>
          <w:rtl w:val="0"/>
        </w:rPr>
        <w:t xml:space="preserve">En lo referente a ciencia y tecnología, Querétaro es reconocido por tercer año consecutivo como Territorio STEM+; ante ello, la titular de la SEDEQ señaló que se han desarrollado capacidades de 91 mil 395 estudiantes y docentes, con iniciativas para despertar vocaciones científicas desde la niñez y juventud, con especial énfasis en las mujeres. Del mismo modo, a través del CONCyTEQ se brindó apoyo a casi 700 estudiantes de educación superior y media superior para el desarrollo de proyectos tecnológicos.</w:t>
      </w:r>
    </w:p>
    <w:p w:rsidR="00000000" w:rsidDel="00000000" w:rsidP="00000000" w:rsidRDefault="00000000" w:rsidRPr="00000000" w14:paraId="00000018">
      <w:pPr>
        <w:spacing w:after="240" w:before="240" w:lineRule="auto"/>
        <w:jc w:val="both"/>
        <w:rPr>
          <w:rFonts w:ascii="Avenir" w:cs="Avenir" w:eastAsia="Avenir" w:hAnsi="Avenir"/>
          <w:color w:val="333333"/>
        </w:rPr>
      </w:pPr>
      <w:r w:rsidDel="00000000" w:rsidR="00000000" w:rsidRPr="00000000">
        <w:rPr>
          <w:rFonts w:ascii="Avenir" w:cs="Avenir" w:eastAsia="Avenir" w:hAnsi="Avenir"/>
          <w:color w:val="333333"/>
          <w:rtl w:val="0"/>
        </w:rPr>
        <w:t xml:space="preserve">En cuanto a infraestructura y equipamiento educativo, a través del IIFEQ se destinaron 521.28 millones de pesos durante 2025 y 2026, con inversión del FAM y, en el mismo periodo, 120.95 millones desde el Gobierno del Estado, esto con la finalidad, dijo, de contar con mejores planteles educativos a favor de la comunidad.</w:t>
      </w:r>
    </w:p>
    <w:p w:rsidR="00000000" w:rsidDel="00000000" w:rsidP="00000000" w:rsidRDefault="00000000" w:rsidRPr="00000000" w14:paraId="00000019">
      <w:pPr>
        <w:spacing w:after="240" w:before="240" w:lineRule="auto"/>
        <w:jc w:val="both"/>
        <w:rPr>
          <w:rFonts w:ascii="Avenir" w:cs="Avenir" w:eastAsia="Avenir" w:hAnsi="Avenir"/>
          <w:color w:val="333333"/>
        </w:rPr>
      </w:pPr>
      <w:r w:rsidDel="00000000" w:rsidR="00000000" w:rsidRPr="00000000">
        <w:rPr>
          <w:rFonts w:ascii="Avenir" w:cs="Avenir" w:eastAsia="Avenir" w:hAnsi="Avenir"/>
          <w:color w:val="333333"/>
          <w:rtl w:val="0"/>
        </w:rPr>
        <w:t xml:space="preserve">Martha Soto recordó que Querétaro también es pionero en la protección de niñas, niños y adolescentes frente a riesgos digitales. Como parte de esta estrategia, se impartieron conferencias de Civismo Digital a 30 mil estudiantes, se llegó a cinco mil familias mediante Escuela para Padres y se brindó acompañamiento de la Policía Cibernética a más de 25 mil estudiantes.</w:t>
      </w:r>
    </w:p>
    <w:p w:rsidR="00000000" w:rsidDel="00000000" w:rsidP="00000000" w:rsidRDefault="00000000" w:rsidRPr="00000000" w14:paraId="0000001A">
      <w:pPr>
        <w:spacing w:after="240" w:before="240" w:lineRule="auto"/>
        <w:jc w:val="both"/>
        <w:rPr>
          <w:rFonts w:ascii="Avenir" w:cs="Avenir" w:eastAsia="Avenir" w:hAnsi="Avenir"/>
          <w:color w:val="333333"/>
        </w:rPr>
      </w:pPr>
      <w:r w:rsidDel="00000000" w:rsidR="00000000" w:rsidRPr="00000000">
        <w:rPr>
          <w:rFonts w:ascii="Avenir" w:cs="Avenir" w:eastAsia="Avenir" w:hAnsi="Avenir"/>
          <w:color w:val="333333"/>
          <w:rtl w:val="0"/>
        </w:rPr>
        <w:t xml:space="preserve">Asimismo, señaló que, de acuerdo con la Universidad de Washington, 54 por ciento de los docentes reporta más tiempo para impartir clases; 55 por ciento, mayor efectividad docente; y 53 por ciento, mejor gestión del aula, mientras que el 40 por ciento de los estudiantes percibe mejoras académicas.</w:t>
      </w:r>
    </w:p>
    <w:p w:rsidR="00000000" w:rsidDel="00000000" w:rsidP="00000000" w:rsidRDefault="00000000" w:rsidRPr="00000000" w14:paraId="0000001B">
      <w:pPr>
        <w:spacing w:after="240" w:before="240" w:lineRule="auto"/>
        <w:jc w:val="both"/>
        <w:rPr>
          <w:rFonts w:ascii="Avenir" w:cs="Avenir" w:eastAsia="Avenir" w:hAnsi="Avenir"/>
          <w:color w:val="333333"/>
        </w:rPr>
      </w:pPr>
      <w:r w:rsidDel="00000000" w:rsidR="00000000" w:rsidRPr="00000000">
        <w:rPr>
          <w:rFonts w:ascii="Avenir" w:cs="Avenir" w:eastAsia="Avenir" w:hAnsi="Avenir"/>
          <w:color w:val="333333"/>
          <w:rtl w:val="0"/>
        </w:rPr>
        <w:t xml:space="preserve">En lo que respecta al deporte de alto rendimiento, la funcionaria destacó que Querétaro alcanzó cifras históricas: 830 atletas clasificaron a los Nacionales CONADE en 38 disciplinas, con 68 por ciento más medallas respecto a 2021. En los Juegos Paranacionales se alcanzó el tercer lugar general, con 220 medallas.</w:t>
      </w:r>
    </w:p>
    <w:p w:rsidR="00000000" w:rsidDel="00000000" w:rsidP="00000000" w:rsidRDefault="00000000" w:rsidRPr="00000000" w14:paraId="0000001C">
      <w:pPr>
        <w:spacing w:after="240" w:before="240" w:lineRule="auto"/>
        <w:jc w:val="both"/>
        <w:rPr>
          <w:rFonts w:ascii="Avenir" w:cs="Avenir" w:eastAsia="Avenir" w:hAnsi="Avenir"/>
          <w:color w:val="333333"/>
        </w:rPr>
      </w:pPr>
      <w:r w:rsidDel="00000000" w:rsidR="00000000" w:rsidRPr="00000000">
        <w:rPr>
          <w:rFonts w:ascii="Avenir" w:cs="Avenir" w:eastAsia="Avenir" w:hAnsi="Avenir"/>
          <w:color w:val="333333"/>
          <w:rtl w:val="0"/>
        </w:rPr>
        <w:t xml:space="preserve">Finalmente, Martha Soto destacó que estos resultados son posibles también gracias al respaldo de madres y padres de familia, y señaló que el principal reto que enfrenta la entidad es atender el crecimiento demográfico, lo que exige mantener el trabajo coordinado entre todos los niveles educativos y sectores de la sociedad para continuar ampliando las oportunidades y garantizar que nadie se quede atrás.</w:t>
      </w:r>
    </w:p>
    <w:p w:rsidR="00000000" w:rsidDel="00000000" w:rsidP="00000000" w:rsidRDefault="00000000" w:rsidRPr="00000000" w14:paraId="0000001D">
      <w:pPr>
        <w:jc w:val="both"/>
        <w:rPr>
          <w:rFonts w:ascii="Avenir" w:cs="Avenir" w:eastAsia="Avenir" w:hAnsi="Avenir"/>
          <w:color w:val="333333"/>
        </w:rPr>
      </w:pPr>
      <w:r w:rsidDel="00000000" w:rsidR="00000000" w:rsidRPr="00000000">
        <w:rPr>
          <w:rtl w:val="0"/>
        </w:rPr>
      </w:r>
    </w:p>
    <w:sectPr>
      <w:headerReference r:id="rId7" w:type="default"/>
      <w:footerReference r:id="rId8" w:type="default"/>
      <w:pgSz w:h="15840" w:w="12240" w:orient="portrait"/>
      <w:pgMar w:bottom="1417" w:top="1985" w:left="1701" w:right="1701" w:header="794"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veni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center" w:leader="none" w:pos="4419"/>
        <w:tab w:val="right" w:leader="none" w:pos="8838"/>
        <w:tab w:val="right" w:leader="none" w:pos="8818"/>
      </w:tabs>
      <w:jc w:val="both"/>
      <w:rPr>
        <w:rFonts w:ascii="Avenir" w:cs="Avenir" w:eastAsia="Avenir" w:hAnsi="Avenir"/>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-689603</wp:posOffset>
          </wp:positionH>
          <wp:positionV relativeFrom="paragraph">
            <wp:posOffset>0</wp:posOffset>
          </wp:positionV>
          <wp:extent cx="3067050" cy="1085850"/>
          <wp:effectExtent b="0" l="0" r="0" t="0"/>
          <wp:wrapNone/>
          <wp:docPr id="1073741842" name="image1.png"/>
          <a:graphic>
            <a:graphicData uri="http://schemas.openxmlformats.org/drawingml/2006/picture">
              <pic:pic>
                <pic:nvPicPr>
                  <pic:cNvPr id="0" name="image1.png"/>
                  <pic:cNvPicPr preferRelativeResize="0"/>
                </pic:nvPicPr>
                <pic:blipFill>
                  <a:blip r:embed="rId1"/>
                  <a:srcRect b="3079" l="57961" r="2496" t="86172"/>
                  <a:stretch>
                    <a:fillRect/>
                  </a:stretch>
                </pic:blipFill>
                <pic:spPr>
                  <a:xfrm>
                    <a:off x="0" y="0"/>
                    <a:ext cx="3067050" cy="108585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center" w:leader="none" w:pos="4419"/>
        <w:tab w:val="right" w:leader="none" w:pos="8838"/>
        <w:tab w:val="right" w:leader="none" w:pos="8818"/>
      </w:tabs>
      <w:jc w:val="both"/>
      <w:rPr>
        <w:rFonts w:ascii="Avenir" w:cs="Avenir" w:eastAsia="Avenir" w:hAnsi="Avenir"/>
        <w:color w:val="000000"/>
      </w:rPr>
    </w:pPr>
    <w:r w:rsidDel="00000000" w:rsidR="00000000" w:rsidRPr="00000000">
      <w:rPr>
        <w:rFonts w:ascii="Avenir" w:cs="Avenir" w:eastAsia="Avenir" w:hAnsi="Avenir"/>
        <w:color w:val="000000"/>
      </w:rPr>
      <mc:AlternateContent>
        <mc:Choice Requires="wpg">
          <w:drawing>
            <wp:anchor allowOverlap="1" behindDoc="1" distB="0" distT="0" distL="0" distR="0" hidden="0" layoutInCell="1" locked="0" relativeHeight="0" simplePos="0">
              <wp:simplePos x="0" y="0"/>
              <wp:positionH relativeFrom="page">
                <wp:posOffset>4295775</wp:posOffset>
              </wp:positionH>
              <wp:positionV relativeFrom="page">
                <wp:posOffset>0</wp:posOffset>
              </wp:positionV>
              <wp:extent cx="3296285" cy="1259841"/>
              <wp:effectExtent b="0" l="0" r="0" t="0"/>
              <wp:wrapNone/>
              <wp:docPr id="1073741841" name=""/>
              <a:graphic>
                <a:graphicData uri="http://schemas.microsoft.com/office/word/2010/wordprocessingGroup">
                  <wpg:wgp>
                    <wpg:cNvGrpSpPr/>
                    <wpg:grpSpPr>
                      <a:xfrm>
                        <a:off x="3697850" y="3150075"/>
                        <a:ext cx="3296285" cy="1259841"/>
                        <a:chOff x="3697850" y="3150075"/>
                        <a:chExt cx="3296300" cy="1259850"/>
                      </a:xfrm>
                    </wpg:grpSpPr>
                    <wpg:grpSp>
                      <wpg:cNvGrpSpPr/>
                      <wpg:grpSpPr>
                        <a:xfrm>
                          <a:off x="3697858" y="3150080"/>
                          <a:ext cx="3296285" cy="1259841"/>
                          <a:chOff x="3697850" y="3150075"/>
                          <a:chExt cx="3296300" cy="1259850"/>
                        </a:xfrm>
                      </wpg:grpSpPr>
                      <wps:wsp>
                        <wps:cNvSpPr/>
                        <wps:cNvPr id="3" name="Shape 3"/>
                        <wps:spPr>
                          <a:xfrm>
                            <a:off x="3697850" y="3150075"/>
                            <a:ext cx="3296300" cy="12598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697858" y="3150080"/>
                            <a:ext cx="3296285" cy="1259841"/>
                            <a:chOff x="3697850" y="3150075"/>
                            <a:chExt cx="3296300" cy="1259850"/>
                          </a:xfrm>
                        </wpg:grpSpPr>
                        <wps:wsp>
                          <wps:cNvSpPr/>
                          <wps:cNvPr id="5" name="Shape 5"/>
                          <wps:spPr>
                            <a:xfrm>
                              <a:off x="3697850" y="3150075"/>
                              <a:ext cx="3296300" cy="12598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697858" y="3150080"/>
                              <a:ext cx="3296285" cy="1259841"/>
                              <a:chOff x="3697850" y="3150075"/>
                              <a:chExt cx="3296300" cy="1259850"/>
                            </a:xfrm>
                          </wpg:grpSpPr>
                          <wps:wsp>
                            <wps:cNvSpPr/>
                            <wps:cNvPr id="7" name="Shape 7"/>
                            <wps:spPr>
                              <a:xfrm>
                                <a:off x="3697850" y="3150075"/>
                                <a:ext cx="3296300" cy="12598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697858" y="3150080"/>
                                <a:ext cx="3296285" cy="1259841"/>
                                <a:chOff x="3697850" y="3150075"/>
                                <a:chExt cx="3296300" cy="1259850"/>
                              </a:xfrm>
                            </wpg:grpSpPr>
                            <wps:wsp>
                              <wps:cNvSpPr/>
                              <wps:cNvPr id="9" name="Shape 9"/>
                              <wps:spPr>
                                <a:xfrm>
                                  <a:off x="3697850" y="3150075"/>
                                  <a:ext cx="3296300" cy="12598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697858" y="3150080"/>
                                  <a:ext cx="3296285" cy="1259841"/>
                                  <a:chOff x="3697850" y="3150075"/>
                                  <a:chExt cx="3296300" cy="1259850"/>
                                </a:xfrm>
                              </wpg:grpSpPr>
                              <wps:wsp>
                                <wps:cNvSpPr/>
                                <wps:cNvPr id="11" name="Shape 11"/>
                                <wps:spPr>
                                  <a:xfrm>
                                    <a:off x="3697850" y="3150075"/>
                                    <a:ext cx="3296300" cy="12598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697858" y="3150080"/>
                                    <a:ext cx="3296285" cy="1259841"/>
                                    <a:chOff x="3697850" y="3150075"/>
                                    <a:chExt cx="3296300" cy="1259850"/>
                                  </a:xfrm>
                                </wpg:grpSpPr>
                                <wps:wsp>
                                  <wps:cNvSpPr/>
                                  <wps:cNvPr id="13" name="Shape 13"/>
                                  <wps:spPr>
                                    <a:xfrm>
                                      <a:off x="3697850" y="3150075"/>
                                      <a:ext cx="3296300" cy="12598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697858" y="3150079"/>
                                      <a:ext cx="3296286" cy="1259843"/>
                                      <a:chOff x="0" y="-1"/>
                                      <a:chExt cx="3296285" cy="1259842"/>
                                    </a:xfrm>
                                  </wpg:grpSpPr>
                                  <wps:wsp>
                                    <wps:cNvSpPr/>
                                    <wps:cNvPr id="15" name="Shape 15"/>
                                    <wps:spPr>
                                      <a:xfrm>
                                        <a:off x="0" y="0"/>
                                        <a:ext cx="3296275" cy="1259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6" name="Shape 16"/>
                                      <pic:cNvPicPr preferRelativeResize="0"/>
                                    </pic:nvPicPr>
                                    <pic:blipFill rotWithShape="1">
                                      <a:blip r:embed="rId1">
                                        <a:alphaModFix/>
                                      </a:blip>
                                      <a:srcRect b="84161" l="57098" r="24728" t="3771"/>
                                      <a:stretch/>
                                    </pic:blipFill>
                                    <pic:spPr>
                                      <a:xfrm>
                                        <a:off x="0" y="-1"/>
                                        <a:ext cx="1409065" cy="1218567"/>
                                      </a:xfrm>
                                      <a:prstGeom prst="rect">
                                        <a:avLst/>
                                      </a:prstGeom>
                                      <a:noFill/>
                                      <a:ln>
                                        <a:noFill/>
                                      </a:ln>
                                    </pic:spPr>
                                  </pic:pic>
                                  <pic:pic>
                                    <pic:nvPicPr>
                                      <pic:cNvPr id="17" name="Shape 17"/>
                                      <pic:cNvPicPr preferRelativeResize="0"/>
                                    </pic:nvPicPr>
                                    <pic:blipFill rotWithShape="1">
                                      <a:blip r:embed="rId2">
                                        <a:alphaModFix/>
                                      </a:blip>
                                      <a:srcRect b="0" l="0" r="0" t="0"/>
                                      <a:stretch/>
                                    </pic:blipFill>
                                    <pic:spPr>
                                      <a:xfrm>
                                        <a:off x="1266824" y="19049"/>
                                        <a:ext cx="2029461" cy="1240792"/>
                                      </a:xfrm>
                                      <a:prstGeom prst="rect">
                                        <a:avLst/>
                                      </a:prstGeom>
                                      <a:noFill/>
                                      <a:ln>
                                        <a:noFill/>
                                      </a:ln>
                                    </pic:spPr>
                                  </pic:pic>
                                </wpg:grpSp>
                              </wpg:grpSp>
                            </wpg:grpSp>
                          </wpg:grpSp>
                        </wpg:grpSp>
                      </wpg:grpSp>
                    </wpg:grpSp>
                  </wpg:wgp>
                </a:graphicData>
              </a:graphic>
            </wp:anchor>
          </w:drawing>
        </mc:Choice>
        <mc:Fallback>
          <w:drawing>
            <wp:anchor allowOverlap="1" behindDoc="1" distB="0" distT="0" distL="0" distR="0" hidden="0" layoutInCell="1" locked="0" relativeHeight="0" simplePos="0">
              <wp:simplePos x="0" y="0"/>
              <wp:positionH relativeFrom="page">
                <wp:posOffset>4295775</wp:posOffset>
              </wp:positionH>
              <wp:positionV relativeFrom="page">
                <wp:posOffset>0</wp:posOffset>
              </wp:positionV>
              <wp:extent cx="3296285" cy="1259841"/>
              <wp:effectExtent b="0" l="0" r="0" t="0"/>
              <wp:wrapNone/>
              <wp:docPr id="1073741841"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3296285" cy="1259841"/>
                      </a:xfrm>
                      <a:prstGeom prst="rect"/>
                      <a:ln/>
                    </pic:spPr>
                  </pic:pic>
                </a:graphicData>
              </a:graphic>
            </wp:anchor>
          </w:drawing>
        </mc:Fallback>
      </mc:AlternateConten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ES_tradn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Normal"/>
    <w:tblPr>
      <w:tblCellMar>
        <w:top w:w="100.0" w:type="dxa"/>
        <w:left w:w="100.0" w:type="dxa"/>
        <w:bottom w:w="100.0" w:type="dxa"/>
        <w:right w:w="100.0" w:type="dxa"/>
      </w:tblCellMar>
    </w:tblPr>
  </w:style>
  <w:style w:type="table" w:styleId="TableNormal3" w:customStyle="1">
    <w:name w:val="TableNormal"/>
    <w:tblPr>
      <w:tblCellMar>
        <w:top w:w="100.0" w:type="dxa"/>
        <w:left w:w="100.0" w:type="dxa"/>
        <w:bottom w:w="100.0" w:type="dxa"/>
        <w:right w:w="100.0" w:type="dxa"/>
      </w:tblCellMar>
    </w:tblPr>
  </w:style>
  <w:style w:type="character" w:styleId="Hipervnculo">
    <w:name w:val="Hyperlink"/>
    <w:rPr>
      <w:u w:val="single"/>
    </w:rPr>
  </w:style>
  <w:style w:type="table" w:styleId="TableNormal4" w:customStyle="1">
    <w:name w:val="Table Normal"/>
    <w:tblPr>
      <w:tblInd w:w="0.0" w:type="dxa"/>
      <w:tblCellMar>
        <w:top w:w="0.0" w:type="dxa"/>
        <w:left w:w="0.0" w:type="dxa"/>
        <w:bottom w:w="0.0" w:type="dxa"/>
        <w:right w:w="0.0" w:type="dxa"/>
      </w:tblCellMar>
    </w:tblPr>
  </w:style>
  <w:style w:type="paragraph" w:styleId="Encabezado">
    <w:name w:val="header"/>
    <w:pPr>
      <w:tabs>
        <w:tab w:val="center" w:pos="4419"/>
        <w:tab w:val="right" w:pos="8838"/>
      </w:tabs>
      <w:jc w:val="both"/>
    </w:pPr>
    <w:rPr>
      <w:rFonts w:ascii="Avenir Book" w:cs="Arial Unicode MS" w:hAnsi="Avenir Book"/>
      <w:color w:val="000000"/>
      <w:u w:color="000000"/>
    </w:rPr>
  </w:style>
  <w:style w:type="paragraph" w:styleId="Piedepgina">
    <w:name w:val="footer"/>
    <w:pPr>
      <w:tabs>
        <w:tab w:val="center" w:pos="4419"/>
        <w:tab w:val="right" w:pos="8838"/>
      </w:tabs>
      <w:jc w:val="both"/>
    </w:pPr>
    <w:rPr>
      <w:rFonts w:ascii="Avenir Book" w:cs="Arial Unicode MS" w:hAnsi="Avenir Book"/>
      <w:color w:val="000000"/>
      <w:u w:color="000000"/>
    </w:rPr>
  </w:style>
  <w:style w:type="paragraph" w:styleId="Cuerpo" w:customStyle="1">
    <w:name w:val="Cuerpo"/>
    <w:pPr>
      <w:jc w:val="both"/>
    </w:pPr>
    <w:rPr>
      <w:rFonts w:ascii="Avenir Book" w:cs="Arial Unicode MS" w:hAnsi="Avenir Book"/>
      <w:color w:val="000000"/>
      <w:u w:color="000000"/>
      <w:lang w:val="pt-PT"/>
    </w:rPr>
  </w:style>
  <w:style w:type="character" w:styleId="Ninguno" w:customStyle="1">
    <w:name w:val="Ninguno"/>
    <w:rPr>
      <w:lang w:val="de-DE"/>
    </w:rPr>
  </w:style>
  <w:style w:type="paragraph" w:styleId="Prrafodelista">
    <w:name w:val="List Paragraph"/>
    <w:pPr>
      <w:spacing w:after="160" w:line="259" w:lineRule="auto"/>
      <w:ind w:left="720"/>
      <w:jc w:val="both"/>
    </w:pPr>
    <w:rPr>
      <w:rFonts w:ascii="Calibri" w:cs="Calibri" w:eastAsia="Calibri" w:hAnsi="Calibri"/>
      <w:color w:val="000000"/>
      <w:sz w:val="22"/>
      <w:szCs w:val="22"/>
      <w:u w:color="000000"/>
    </w:rPr>
  </w:style>
  <w:style w:type="numbering" w:styleId="Estiloimportado1" w:customStyle="1">
    <w:name w:val="Estilo importado 1"/>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3.png"/><Relationship Id="rId3" Type="http://schemas.openxmlformats.org/officeDocument/2006/relationships/image" Target="media/image2.png"/></Relationships>
</file>

<file path=word/theme/theme1.xml><?xml version="1.0" encoding="utf-8"?>
<a:theme xmlns:a="http://schemas.openxmlformats.org/drawingml/2006/main" name="Tema de Office">
  <a:themeElements>
    <a:clrScheme name="Tema de 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Tema de Office">
      <a:majorFont>
        <a:latin typeface="Helvetica"/>
        <a:ea typeface="Helvetica"/>
        <a:cs typeface="Helvetica"/>
      </a:majorFont>
      <a:minorFont>
        <a:latin typeface="Helvetica"/>
        <a:ea typeface="Helvetica"/>
        <a:cs typeface="Helvetica"/>
      </a:minorFont>
    </a:fontScheme>
    <a:fmtScheme name="Tema d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ZtDQWCu0/Z+U0WIQR7yjQ1LIQ==">CgMxLjA4AHIhMUZZM0g2T0dwWGJuYVplemJBdi1lTHNnMkRjYmsyRW1N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2026-09-23T19:03:00Z</dcterms:created>
  <dc:creator>Ana Lilia Morales Alvarez</dc:creator>
</cp:coreProperties>
</file>