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Avenir" w:cs="Avenir" w:eastAsia="Avenir" w:hAnsi="Avenir"/>
          <w:sz w:val="22"/>
          <w:szCs w:val="22"/>
        </w:rPr>
      </w:pPr>
      <w:r w:rsidDel="00000000" w:rsidR="00000000" w:rsidRPr="00000000">
        <w:rPr>
          <w:rFonts w:ascii="Avenir" w:cs="Avenir" w:eastAsia="Avenir" w:hAnsi="Avenir"/>
          <w:sz w:val="22"/>
          <w:szCs w:val="22"/>
          <w:rtl w:val="0"/>
        </w:rPr>
        <w:t xml:space="preserve">Querétaro, Qro., 23 de septiembre de 2026</w:t>
      </w:r>
    </w:p>
    <w:p w:rsidR="00000000" w:rsidDel="00000000" w:rsidP="00000000" w:rsidRDefault="00000000" w:rsidRPr="00000000" w14:paraId="00000002">
      <w:pPr>
        <w:jc w:val="center"/>
        <w:rPr>
          <w:rFonts w:ascii="Avenir" w:cs="Avenir" w:eastAsia="Avenir" w:hAnsi="Avenir"/>
          <w:b w:val="1"/>
          <w:bCs w:val="1"/>
          <w:sz w:val="26"/>
          <w:szCs w:val="26"/>
        </w:rPr>
      </w:pPr>
      <w:r w:rsidDel="00000000" w:rsidR="00000000" w:rsidRPr="00000000">
        <w:rPr>
          <w:rtl w:val="0"/>
        </w:rPr>
      </w:r>
    </w:p>
    <w:p w:rsidR="00000000" w:rsidDel="00000000" w:rsidP="00000000" w:rsidRDefault="00000000" w:rsidRPr="00000000" w14:paraId="00000003">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jc w:val="center"/>
        <w:rPr>
          <w:rFonts w:ascii="Helvetica Neue" w:cs="Helvetica Neue" w:eastAsia="Helvetica Neue" w:hAnsi="Helvetica Neue"/>
          <w:sz w:val="26"/>
          <w:szCs w:val="26"/>
        </w:rPr>
      </w:pPr>
      <w:r w:rsidDel="00000000" w:rsidR="00000000" w:rsidRPr="00000000">
        <w:rPr>
          <w:rFonts w:ascii="Avenir" w:cs="Avenir" w:eastAsia="Avenir" w:hAnsi="Avenir"/>
          <w:b w:val="1"/>
          <w:bCs w:val="1"/>
          <w:sz w:val="26"/>
          <w:szCs w:val="26"/>
          <w:rtl w:val="0"/>
        </w:rPr>
        <w:t xml:space="preserve">BOLETÍN 229/26</w:t>
      </w:r>
      <w:r w:rsidDel="00000000" w:rsidR="00000000" w:rsidRPr="00000000">
        <w:rPr>
          <w:rtl w:val="0"/>
        </w:rPr>
      </w:r>
    </w:p>
    <w:p w:rsidR="00000000" w:rsidDel="00000000" w:rsidP="00000000" w:rsidRDefault="00000000" w:rsidRPr="00000000" w14:paraId="00000004">
      <w:pPr>
        <w:spacing w:line="276" w:lineRule="auto"/>
        <w:rPr>
          <w:rFonts w:ascii="Avenir" w:cs="Avenir" w:eastAsia="Avenir" w:hAnsi="Avenir"/>
          <w:b w:val="1"/>
          <w:bCs w:val="1"/>
          <w:sz w:val="26"/>
          <w:szCs w:val="26"/>
        </w:rPr>
      </w:pPr>
      <w:r w:rsidDel="00000000" w:rsidR="00000000" w:rsidRPr="00000000">
        <w:rPr>
          <w:rtl w:val="0"/>
        </w:rPr>
      </w:r>
    </w:p>
    <w:p w:rsidR="00000000" w:rsidDel="00000000" w:rsidP="00000000" w:rsidRDefault="00000000" w:rsidRPr="00000000" w14:paraId="00000005">
      <w:pPr>
        <w:jc w:val="center"/>
        <w:rPr>
          <w:rFonts w:ascii="Avenir" w:cs="Avenir" w:eastAsia="Avenir" w:hAnsi="Avenir"/>
          <w:b w:val="1"/>
          <w:bCs w:val="1"/>
          <w:sz w:val="26"/>
          <w:szCs w:val="26"/>
        </w:rPr>
      </w:pPr>
      <w:r w:rsidDel="00000000" w:rsidR="00000000" w:rsidRPr="00000000">
        <w:rPr>
          <w:rFonts w:ascii="Avenir" w:cs="Avenir" w:eastAsia="Avenir" w:hAnsi="Avenir"/>
          <w:b w:val="1"/>
          <w:bCs w:val="1"/>
          <w:sz w:val="26"/>
          <w:szCs w:val="26"/>
          <w:rtl w:val="0"/>
        </w:rPr>
        <w:t xml:space="preserve">Querétaro crece desde su talento, su identidad y su gente: López Birlain</w:t>
      </w:r>
    </w:p>
    <w:p w:rsidR="00000000" w:rsidDel="00000000" w:rsidP="00000000" w:rsidRDefault="00000000" w:rsidRPr="00000000" w14:paraId="00000006">
      <w:pPr>
        <w:jc w:val="center"/>
        <w:rPr>
          <w:rFonts w:ascii="Avenir" w:cs="Avenir" w:eastAsia="Avenir" w:hAnsi="Avenir"/>
          <w:b w:val="1"/>
          <w:bCs w:val="1"/>
          <w:sz w:val="26"/>
          <w:szCs w:val="26"/>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La secretaria de Cultura compareció ante la LXI Legislatura como parte de la glosa del Quinto Informe de Gobierno.</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Avenir" w:cs="Avenir" w:eastAsia="Avenir" w:hAnsi="Avenir"/>
          <w:b w:val="0"/>
          <w:bCs w:val="0"/>
          <w:i w:val="0"/>
          <w:iCs w:val="0"/>
          <w:smallCaps w:val="0"/>
          <w:strike w:val="0"/>
          <w:color w:val="000000"/>
          <w:sz w:val="22"/>
          <w:szCs w:val="22"/>
          <w:u w:val="none"/>
          <w:shd w:fill="auto" w:val="clear"/>
          <w:vertAlign w:val="baseline"/>
          <w:rtl w:val="0"/>
        </w:rPr>
        <w:t xml:space="preserve">El arte y la educación son herramientas para fortalecer el tejido social y construir cultura de paz, asegura.</w:t>
      </w:r>
      <w:r w:rsidDel="00000000" w:rsidR="00000000" w:rsidRPr="00000000">
        <w:rPr>
          <w:rtl w:val="0"/>
        </w:rPr>
      </w:r>
    </w:p>
    <w:p w:rsidR="00000000" w:rsidDel="00000000" w:rsidP="00000000" w:rsidRDefault="00000000" w:rsidRPr="00000000" w14:paraId="00000009">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Hacer política cultural es hacer comunidad, construir paz y generar desarrollo, afirmó la secretaria de Cultura del estado, Ana Paola López Birlain, durante su comparecencia con motivo de la glosa del Quinto Informe de Gobierno, donde refrendó el compromiso de seguir sumando voluntades y hacer que las cosas sucedan para que Querétaro siga creciendo desde su talento, su identidad y su gente.</w:t>
      </w:r>
    </w:p>
    <w:p w:rsidR="00000000" w:rsidDel="00000000" w:rsidP="00000000" w:rsidRDefault="00000000" w:rsidRPr="00000000" w14:paraId="0000000A">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Ante diputados y diputadas de la Sexagésima Primera Legislatura, aseguró que en la entidad hablar de cultura es hablar de identidad, de comunidad y de oportunidades, y es reconocer en el arte, la educación y la creatividad herramientas para fortalecer el tejido social y construir cultura de paz, bajo la premisa de que el talento genera desarrollo, mueve la economía y abre nuevas posibilidades para las familias queretanas.</w:t>
      </w:r>
    </w:p>
    <w:p w:rsidR="00000000" w:rsidDel="00000000" w:rsidP="00000000" w:rsidRDefault="00000000" w:rsidRPr="00000000" w14:paraId="0000000B">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“En la Secretaría de Cultura consolidamos un nuevo modelo de trabajo que entiende a la cultura como generadora de desarrollo, escucha y acompaña a la comunidad artística, conecta el talento con nuevas oportunidades y genera herramientas para que los proyectos crezcan y contribuyan al desarrollo social y económico de Querétaro”, remarcó.</w:t>
      </w:r>
    </w:p>
    <w:p w:rsidR="00000000" w:rsidDel="00000000" w:rsidP="00000000" w:rsidRDefault="00000000" w:rsidRPr="00000000" w14:paraId="0000000C">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López Birlain expuso que la política cultural actual en el estado se articula sobre los ejes de patrimonio, educación artística, acceso a la cultura e industrias creativas, con la formación y el desarrollo del talento como elementos transversales, con un trabajo de colaboración con municipios, instituciones, academia, iniciativa privada y sociedad civil.</w:t>
      </w:r>
    </w:p>
    <w:p w:rsidR="00000000" w:rsidDel="00000000" w:rsidP="00000000" w:rsidRDefault="00000000" w:rsidRPr="00000000" w14:paraId="0000000D">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Apuntó que, para generar mejores oportunidades, el primer paso es conocer y escuchar a la comunidad artística, por lo que la SECULT ha construido herramientas como el Centro de Integración y Vinculación para el Arte, que ha dado servicio a mil 470 creadores y contribuye a identificar talento, acompañar proyectos, acercar convocatorias y herramientas de financiamiento, fortalecer capacidades y generar conexiones para la comunidad artística y creativa. Refirió también que el Registro Artístico Queretano tiene tres mil 748 registros, 66 por ciento más en relación con el año anterior.</w:t>
      </w:r>
    </w:p>
    <w:p w:rsidR="00000000" w:rsidDel="00000000" w:rsidP="00000000" w:rsidRDefault="00000000" w:rsidRPr="00000000" w14:paraId="0000000E">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En cuanto a los apoyos que se traducen en oportunidades abiertas para la comunidad artística, señaló que se emitieron 44 convocatorias públicas, que beneficiaron a mil 221 artistas y colectivos, con una inversión de 31 millones de pesos, ampliando las posibilidades para producir, exhibir su trabajo, utilizar los espacios de la SECULT y participar en la vida cultural de Querétaro.</w:t>
      </w:r>
    </w:p>
    <w:p w:rsidR="00000000" w:rsidDel="00000000" w:rsidP="00000000" w:rsidRDefault="00000000" w:rsidRPr="00000000" w14:paraId="0000000F">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Destacó que la SECULT mantiene 12 orquestas y coros comunitarios infantiles y juveniles en 11 municipios, donde 305 niñas, niños y adolescentes reciben gratuitamente nueve horas de formación a la semana y cuentan con instrumentos en préstamo.</w:t>
      </w:r>
    </w:p>
    <w:p w:rsidR="00000000" w:rsidDel="00000000" w:rsidP="00000000" w:rsidRDefault="00000000" w:rsidRPr="00000000" w14:paraId="00000010">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Agregó que en la Escuela de Iniciación Artística asociada al INBAL, 44 niñas y niños de entre ocho y 14 años concluyeron tres años de formación en música, danza, teatro y artes visuales, en tanto que la Banda de Música del Estado acercó su arte a 18 mil 840 estudiantes y la Orquesta Filarmónica del Estado de Querétaro llegó a cinco mil 739 alumnas y alumnos en seis municipios.</w:t>
      </w:r>
    </w:p>
    <w:p w:rsidR="00000000" w:rsidDel="00000000" w:rsidP="00000000" w:rsidRDefault="00000000" w:rsidRPr="00000000" w14:paraId="00000011">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Asimismo, junto con el Instituto Nacional de Bellas Artes y Literatura, el programa Artes Escénicas en la Escuela llevó teatro y danza a 15 mil 640 estudiantes de educación básica y, a través del programa Alas y Raíces, se apoyaron 18 proyectos de cultura comunitaria en diez municipios.</w:t>
      </w:r>
    </w:p>
    <w:p w:rsidR="00000000" w:rsidDel="00000000" w:rsidP="00000000" w:rsidRDefault="00000000" w:rsidRPr="00000000" w14:paraId="00000012">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La titular de la SECULT sostuvo que la cultura también se construye reconociendo nuevas formas de expresión; por ello, a través del Centro de Arte Emergente se llevaron talleres de graffiti, esténcil y breaking a siete municipios, con 243 participantes y talleristas locales, mientras que con el programa Cultura en Comunidades y Barrios se apoyaron 46 proyectos de artes plásticas, artes escénicas y literatura en comunidades con algún grado de marginación.</w:t>
      </w:r>
    </w:p>
    <w:p w:rsidR="00000000" w:rsidDel="00000000" w:rsidP="00000000" w:rsidRDefault="00000000" w:rsidRPr="00000000" w14:paraId="00000013">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Ante los legisladores de las diferentes fuerzas políticas, López Birlain aseveró que una cultura cercana también debe ser incluyente y accesible para todas las personas; por tanto, en el Centro Cultural Casa del Faldón se generaron espacios para distintas edades y formas de participación, desde actividades para personas mayores y danza en silla de ruedas, hasta las jornadas de Sábados Infantiles, que reunieron a 18 mil 15 personas en funciones de teatro, danza y música.</w:t>
      </w:r>
    </w:p>
    <w:p w:rsidR="00000000" w:rsidDel="00000000" w:rsidP="00000000" w:rsidRDefault="00000000" w:rsidRPr="00000000" w14:paraId="00000014">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Informó también que se entregaron más de 143 mil libros de la colección Defensores de Querétaro en 39 escuelas, beneficiando a 11 mil 913 niñas y niños, y refirió que la Red Estatal de Bibliotecas de la SECULT tiene presencia en los 18 municipios y atendió a 213 mil 246 usuarios, además de realizar 26 mil 855 actividades artísticas y culturales.</w:t>
      </w:r>
    </w:p>
    <w:p w:rsidR="00000000" w:rsidDel="00000000" w:rsidP="00000000" w:rsidRDefault="00000000" w:rsidRPr="00000000" w14:paraId="00000015">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Mencionó asimismo que durante el quinto año de la actual administración la Secretaría apoyó la publicación de 39 libros, con un tiraje de 46 mil 500 ejemplares, además de dos títulos digitales; se destinaron 600 mil pesos a cinco premios nacionales e internacionales, en cuyas convocatorias participaron 145 obras.</w:t>
      </w:r>
    </w:p>
    <w:p w:rsidR="00000000" w:rsidDel="00000000" w:rsidP="00000000" w:rsidRDefault="00000000" w:rsidRPr="00000000" w14:paraId="00000016">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En términos globales, la cobertura de apoyos implementados entre 2022 y 2026 se consolidó en la realización de 262 eventos, beneficiando a un total de 10 mil 948 artesanos y artesanas.</w:t>
      </w:r>
    </w:p>
    <w:p w:rsidR="00000000" w:rsidDel="00000000" w:rsidP="00000000" w:rsidRDefault="00000000" w:rsidRPr="00000000" w14:paraId="00000017">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Ana Paola López recordó también que el XXVIII Festival de la Huasteca, Cuerpos de Maíz, dejó una muestra clara de lo que se puede lograr cuando se hace equipo, pues, pese al aplazamiento del encuentro a causa de las lluvias, más de 500 portadores de tradición participaron en el evento, que reunió a 25 mil asistentes presenciales y a más de 10 mil personas que lo siguieron a través de Radio y Televisión Querétaro (RTQ).</w:t>
      </w:r>
    </w:p>
    <w:p w:rsidR="00000000" w:rsidDel="00000000" w:rsidP="00000000" w:rsidRDefault="00000000" w:rsidRPr="00000000" w14:paraId="00000018">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“También respaldamos el Festival de Santiago, que reunió en Jalpan de Serra a casi 11 mil personas y 262 artistas, 198 de ellos queretanos. Asimismo, este año realizamos por primera vez una jornada simultánea de huapango y música huasteca en ocho municipios, con tres mil 910 asistentes presenciales y tres mil 344 visualizaciones a través de RTQ. Además, 20 personas con discapacidad vivieron la música mediante chalecos sensoriales, incorporando una forma distinta e incluyente de acercarse a estas expresiones”, apuntó.</w:t>
      </w:r>
    </w:p>
    <w:p w:rsidR="00000000" w:rsidDel="00000000" w:rsidP="00000000" w:rsidRDefault="00000000" w:rsidRPr="00000000" w14:paraId="00000019">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La secretaria se refirió también a la cuarta edición de Querétaro en Los Pinos, donde creadoras y creadores, artesanos, pequeños productores y cocineras tradicionales de los municipios compartieron la riqueza cultural del estado a través de la música, la gastronomía, la danza, el teatro y la artesanía. La muestra recibió a 11 mil 193 visitantes y generó una derrama económica de 739 mil 640 pesos.</w:t>
      </w:r>
    </w:p>
    <w:p w:rsidR="00000000" w:rsidDel="00000000" w:rsidP="00000000" w:rsidRDefault="00000000" w:rsidRPr="00000000" w14:paraId="0000001A">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La titular de Cultura recordó que el 24 de julio pasado se publicó en La Sombra de Arteaga la declaratoria de Las Tradicionales Fiestas de Diciembre de la Ciudad de Santiago de Querétaro como Patrimonio Cultural Inmaterial del Estado. Con ella, suman tres declaratorias publicadas durante la administración actual.</w:t>
      </w:r>
    </w:p>
    <w:p w:rsidR="00000000" w:rsidDel="00000000" w:rsidP="00000000" w:rsidRDefault="00000000" w:rsidRPr="00000000" w14:paraId="0000001B">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“Este trabajo continúa. Actualmente damos seguimiento a cinco expedientes viables: el labrado y tallado de cantera de Escolásticas, en Pedro Escobedo; el arte textil de lana y sarape de Colón; la Peregrinación de los Farolitos, en San Juan del Río; la Exaltación de la Santa Cruz de los Milagros del Cerro del Sangremal y sus jefes danzantes concheros chichimecas; y la Tradicional Carrera de las Cruces, en Hércules”, apuntó.</w:t>
      </w:r>
    </w:p>
    <w:p w:rsidR="00000000" w:rsidDel="00000000" w:rsidP="00000000" w:rsidRDefault="00000000" w:rsidRPr="00000000" w14:paraId="0000001C">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Informó además que de agosto de 2025 a julio pasado los 12 espacios de la Secretaría de Cultura —que abarcan siete museos, cuatro centros culturales y una galería— registraron un total de ocho mil 720 eventos y recibieron a un millón 126 mil 165 visitantes.</w:t>
      </w:r>
    </w:p>
    <w:p w:rsidR="00000000" w:rsidDel="00000000" w:rsidP="00000000" w:rsidRDefault="00000000" w:rsidRPr="00000000" w14:paraId="0000001D">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La Noche de Museos se convirtió en uno de los mejores ejemplos de lo que sucede cuando se hace equipo y se conecta con la gente, pues en octubre de 2025 participaron 24 recintos, con más de 50 actividades, y para mayo de 2026 la iniciativa creció a 35 espacios y 68 actividades, sumando recintos públicos, privados e independientes. En el periodo de referencia se destinaron 855 mil 158 pesos a acciones de conservación en recintos como el Museo de Arte de Querétaro, el Centro de las Artes y el Museo de Arte Contemporáneo.</w:t>
      </w:r>
    </w:p>
    <w:p w:rsidR="00000000" w:rsidDel="00000000" w:rsidP="00000000" w:rsidRDefault="00000000" w:rsidRPr="00000000" w14:paraId="0000001E">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En cuanto al Día Mundial del Teatro, con ese motivo se respaldaron las propuestas de la comunidad escénica queretana mediante una convocatoria que recibió 44 propuestas, de las cuales 22 fueron seleccionadas; con una inversión de 255 mil pesos, la celebración reunió a más de dos mil asistentes. Asimismo, la Muestra Estatal de Teatro reunió a 19 compañías locales, que presentaron sus trabajos ante más de dos mil 500 personas.</w:t>
      </w:r>
    </w:p>
    <w:p w:rsidR="00000000" w:rsidDel="00000000" w:rsidP="00000000" w:rsidRDefault="00000000" w:rsidRPr="00000000" w14:paraId="0000001F">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En el Día Internacional de la Danza Querétaro 2026 participaron mil 767 artistas locales, con 26 mil 933 asistencias reportadas, mientras que el Festival Internacional de Artes Escénicas amplió la oferta escénica del estado con 40 presentaciones, en las que participaron 321 artistas y se registraron más de cuatro mil asistentes.</w:t>
      </w:r>
    </w:p>
    <w:p w:rsidR="00000000" w:rsidDel="00000000" w:rsidP="00000000" w:rsidRDefault="00000000" w:rsidRPr="00000000" w14:paraId="00000020">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López Birlain informó que en la primera quincena del mes de noviembre Querétaro será la sede de la Muestra Nacional de Teatro, donde el estado recibirá a 30 compañías de 28 entidades; se tendrán más de 100 actividades, destacando 47 presentaciones.</w:t>
      </w:r>
    </w:p>
    <w:p w:rsidR="00000000" w:rsidDel="00000000" w:rsidP="00000000" w:rsidRDefault="00000000" w:rsidRPr="00000000" w14:paraId="00000021">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De igual forma, durante el Encuentro Nacional e Internacional de Guitarra Querétaro 2025, la programación incluyó 29 conciertos, clases magistrales y conferencias, con siete mil asistentes reportados. Con una inversión de 40.6 millones de pesos, se han realizado 36 festivales y 118 eventos de alcance estatal, nacional e internacional, con una afluencia de un millón 200 mil asistentes, contribuyendo a democratizar el acceso a las artes escénicas y musicales.</w:t>
      </w:r>
    </w:p>
    <w:p w:rsidR="00000000" w:rsidDel="00000000" w:rsidP="00000000" w:rsidRDefault="00000000" w:rsidRPr="00000000" w14:paraId="00000022">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La Orquesta Filarmónica del Estado de Querétaro mantuvo sus temporadas y los programas Filarmónica en tu Municipio y Filarmónica en tu Escuela. Sus 162 presentaciones reportaron 35 mil 537 asistentes, en tanto que la Banda de Música del Estado fortaleció su presencia en el territorio con 397 actividades y 587 mil 605 asistentes.</w:t>
      </w:r>
    </w:p>
    <w:p w:rsidR="00000000" w:rsidDel="00000000" w:rsidP="00000000" w:rsidRDefault="00000000" w:rsidRPr="00000000" w14:paraId="00000023">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En lo referente al apoyo a la labor cinematográfica, López Birlain informó que a proyectos de producción y formación se destinaron tres millones 135 mil 770 pesos; además, a través de Contigo llegamos lejos: Cultura en Movimiento se dirigió un monto de un millón 384 mil 700 pesos para apoyar a 41 artistas queretanos en presentaciones y actividades formativas, tanto nacionales como en el extranjero.</w:t>
      </w:r>
    </w:p>
    <w:p w:rsidR="00000000" w:rsidDel="00000000" w:rsidP="00000000" w:rsidRDefault="00000000" w:rsidRPr="00000000" w14:paraId="00000024">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La SECULT impulsó distintos programas para comercializar de manera directa la obra de los creadores y fortalecer la sostenibilidad de su actividad profesional, como Arte para Llevar, con cinco ediciones: Gráfica Queretana 2025, Mercadillo Cerámico, Foto Venta, Pop Up Merch y Arte y la Feria ARTQRO 2026. En conjunto, participaron 441 artistas y generaron 999 mil 396 pesos en ventas directas, sin intermediarios ni comisiones, con la presencia de 14 mil visitantes en el CEART.</w:t>
      </w:r>
    </w:p>
    <w:p w:rsidR="00000000" w:rsidDel="00000000" w:rsidP="00000000" w:rsidRDefault="00000000" w:rsidRPr="00000000" w14:paraId="00000025">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En el Encuentro Nacional de Educación Comunitaria “De la Piel a la Galería” participaron 40 expositores y se registraron seis mil 600 visitantes, y en el CEART se creó la Galería RAQ, con el fin de generar espacios de exhibición itinerante.</w:t>
      </w:r>
    </w:p>
    <w:p w:rsidR="00000000" w:rsidDel="00000000" w:rsidP="00000000" w:rsidRDefault="00000000" w:rsidRPr="00000000" w14:paraId="00000026">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Al final de su exposición, López Birlain expresó a las y los diputados su convicción de que cuando se pone a las personas al centro de las decisiones y se confía en su talento, se generan mejores condiciones para el desarrollo de Querétaro.</w:t>
      </w:r>
    </w:p>
    <w:p w:rsidR="00000000" w:rsidDel="00000000" w:rsidP="00000000" w:rsidRDefault="00000000" w:rsidRPr="00000000" w14:paraId="00000027">
      <w:pPr>
        <w:spacing w:after="240" w:before="240" w:lineRule="auto"/>
        <w:jc w:val="both"/>
        <w:rPr>
          <w:rFonts w:ascii="Avenir" w:cs="Avenir" w:eastAsia="Avenir" w:hAnsi="Avenir"/>
        </w:rPr>
      </w:pPr>
      <w:r w:rsidDel="00000000" w:rsidR="00000000" w:rsidRPr="00000000">
        <w:rPr>
          <w:rFonts w:ascii="Avenir" w:cs="Avenir" w:eastAsia="Avenir" w:hAnsi="Avenir"/>
          <w:rtl w:val="0"/>
        </w:rPr>
        <w:t xml:space="preserve">“Detrás de cada resultado hay una historia: una niña que descubre la música, un joven que encuentra en el arte una posibilidad, una creadora que lleva su proyecto más lejos, una artesana que genera ingresos a partir de sus saberes o una comunidad que transmite sus tradiciones a una nueva generación. Ahí es donde la política cultural adquiere sentido: cuando incide en la vida de las personas”, concluyó.</w:t>
      </w:r>
    </w:p>
    <w:p w:rsidR="00000000" w:rsidDel="00000000" w:rsidP="00000000" w:rsidRDefault="00000000" w:rsidRPr="00000000" w14:paraId="00000028">
      <w:pPr>
        <w:jc w:val="both"/>
        <w:rPr>
          <w:rFonts w:ascii="Avenir" w:cs="Avenir" w:eastAsia="Avenir" w:hAnsi="Avenir"/>
        </w:rPr>
      </w:pPr>
      <w:r w:rsidDel="00000000" w:rsidR="00000000" w:rsidRPr="00000000">
        <w:rPr>
          <w:rtl w:val="0"/>
        </w:rPr>
      </w:r>
    </w:p>
    <w:sectPr>
      <w:headerReference r:id="rId7" w:type="default"/>
      <w:footerReference r:id="rId8" w:type="default"/>
      <w:pgSz w:h="15840" w:w="12240" w:orient="portrait"/>
      <w:pgMar w:bottom="1417" w:top="1985" w:left="1701" w:right="1701" w:header="794"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1464945</wp:posOffset>
          </wp:positionH>
          <wp:positionV relativeFrom="paragraph">
            <wp:posOffset>-476249</wp:posOffset>
          </wp:positionV>
          <wp:extent cx="3067050" cy="1085850"/>
          <wp:effectExtent b="0" l="0" r="0" t="0"/>
          <wp:wrapNone/>
          <wp:docPr id="9" name="image1.png"/>
          <a:graphic>
            <a:graphicData uri="http://schemas.openxmlformats.org/drawingml/2006/picture">
              <pic:pic>
                <pic:nvPicPr>
                  <pic:cNvPr id="0" name="image1.png"/>
                  <pic:cNvPicPr preferRelativeResize="0"/>
                </pic:nvPicPr>
                <pic:blipFill>
                  <a:blip r:embed="rId1"/>
                  <a:srcRect b="3080" l="57961" r="2497" t="86172"/>
                  <a:stretch>
                    <a:fillRect/>
                  </a:stretch>
                </pic:blipFill>
                <pic:spPr>
                  <a:xfrm>
                    <a:off x="0" y="0"/>
                    <a:ext cx="3067050" cy="10858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both"/>
      <w:rPr>
        <w:rFonts w:ascii="Avenir" w:cs="Avenir" w:eastAsia="Avenir" w:hAnsi="Avenir"/>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
              <a:graphic>
                <a:graphicData uri="http://schemas.microsoft.com/office/word/2010/wordprocessingGroup">
                  <wpg:wgp>
                    <wpg:cNvGrpSpPr/>
                    <wpg:grpSpPr>
                      <a:xfrm>
                        <a:off x="3697850" y="3150075"/>
                        <a:ext cx="3296285" cy="1259840"/>
                        <a:chOff x="3697850" y="3150075"/>
                        <a:chExt cx="3296300" cy="1259850"/>
                      </a:xfrm>
                    </wpg:grpSpPr>
                    <wpg:grpSp>
                      <wpg:cNvGrpSpPr/>
                      <wpg:grpSpPr>
                        <a:xfrm>
                          <a:off x="3697858" y="3150080"/>
                          <a:ext cx="3296285" cy="1259840"/>
                          <a:chOff x="0" y="0"/>
                          <a:chExt cx="3296285" cy="1259840"/>
                        </a:xfrm>
                      </wpg:grpSpPr>
                      <wps:wsp>
                        <wps:cNvSpPr/>
                        <wps:cNvPr id="3" name="Shape 3"/>
                        <wps:spPr>
                          <a:xfrm>
                            <a:off x="0" y="0"/>
                            <a:ext cx="3296275" cy="12598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4" name="Shape 4"/>
                          <pic:cNvPicPr preferRelativeResize="0"/>
                        </pic:nvPicPr>
                        <pic:blipFill rotWithShape="1">
                          <a:blip r:embed="rId1">
                            <a:alphaModFix/>
                          </a:blip>
                          <a:srcRect b="84161" l="57098" r="24728" t="3772"/>
                          <a:stretch/>
                        </pic:blipFill>
                        <pic:spPr>
                          <a:xfrm>
                            <a:off x="0" y="0"/>
                            <a:ext cx="1409065" cy="1218565"/>
                          </a:xfrm>
                          <a:prstGeom prst="rect">
                            <a:avLst/>
                          </a:prstGeom>
                          <a:noFill/>
                          <a:ln>
                            <a:noFill/>
                          </a:ln>
                        </pic:spPr>
                      </pic:pic>
                      <pic:pic>
                        <pic:nvPicPr>
                          <pic:cNvPr id="5" name="Shape 5"/>
                          <pic:cNvPicPr preferRelativeResize="0"/>
                        </pic:nvPicPr>
                        <pic:blipFill rotWithShape="1">
                          <a:blip r:embed="rId2">
                            <a:alphaModFix/>
                          </a:blip>
                          <a:srcRect b="0" l="0" r="0" t="0"/>
                          <a:stretch/>
                        </pic:blipFill>
                        <pic:spPr>
                          <a:xfrm>
                            <a:off x="1266825" y="19050"/>
                            <a:ext cx="2029460" cy="1240790"/>
                          </a:xfrm>
                          <a:prstGeom prst="rect">
                            <a:avLst/>
                          </a:prstGeom>
                          <a:noFill/>
                          <a:ln>
                            <a:noFill/>
                          </a:ln>
                        </pic:spPr>
                      </pic:pic>
                    </wpg:grpSp>
                  </wpg:wgp>
                </a:graphicData>
              </a:graphic>
            </wp:anchor>
          </w:drawing>
        </mc:Choice>
        <mc:Fallback>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9831A4"/>
    <w:pPr>
      <w:tabs>
        <w:tab w:val="center" w:pos="4419"/>
        <w:tab w:val="right" w:pos="8838"/>
      </w:tabs>
      <w:jc w:val="both"/>
    </w:pPr>
    <w:rPr>
      <w:rFonts w:ascii="Avenir" w:cs="Arial" w:hAnsi="Avenir" w:eastAsiaTheme="minorHAnsi"/>
      <w:lang w:eastAsia="en-US"/>
    </w:rPr>
  </w:style>
  <w:style w:type="character" w:styleId="EncabezadoCar" w:customStyle="1">
    <w:name w:val="Encabezado Car"/>
    <w:basedOn w:val="Fuentedeprrafopredeter"/>
    <w:link w:val="Encabezado"/>
    <w:uiPriority w:val="99"/>
    <w:rsid w:val="009831A4"/>
  </w:style>
  <w:style w:type="paragraph" w:styleId="Piedepgina">
    <w:name w:val="footer"/>
    <w:basedOn w:val="Normal"/>
    <w:link w:val="PiedepginaCar"/>
    <w:uiPriority w:val="99"/>
    <w:unhideWhenUsed w:val="1"/>
    <w:rsid w:val="009831A4"/>
    <w:pPr>
      <w:tabs>
        <w:tab w:val="center" w:pos="4419"/>
        <w:tab w:val="right" w:pos="8838"/>
      </w:tabs>
      <w:jc w:val="both"/>
    </w:pPr>
    <w:rPr>
      <w:rFonts w:ascii="Avenir" w:cs="Arial" w:hAnsi="Avenir" w:eastAsiaTheme="minorHAnsi"/>
      <w:lang w:eastAsia="en-US"/>
    </w:rPr>
  </w:style>
  <w:style w:type="character" w:styleId="PiedepginaCar" w:customStyle="1">
    <w:name w:val="Pie de página Car"/>
    <w:basedOn w:val="Fuentedeprrafopredeter"/>
    <w:link w:val="Piedepgina"/>
    <w:uiPriority w:val="99"/>
    <w:rsid w:val="009831A4"/>
  </w:style>
  <w:style w:type="paragraph" w:styleId="Prrafodelista">
    <w:name w:val="List Paragraph"/>
    <w:basedOn w:val="Normal"/>
    <w:uiPriority w:val="34"/>
    <w:qFormat w:val="1"/>
    <w:rsid w:val="009831A4"/>
    <w:pPr>
      <w:spacing w:after="160" w:line="259" w:lineRule="auto"/>
      <w:ind w:left="720"/>
      <w:contextualSpacing w:val="1"/>
      <w:jc w:val="both"/>
    </w:pPr>
    <w:rPr>
      <w:rFonts w:ascii="Calibri" w:cs="Arial" w:eastAsia="Calibri" w:hAnsi="Calibri"/>
      <w:sz w:val="22"/>
      <w:szCs w:val="22"/>
      <w:lang w:eastAsia="en-US"/>
    </w:rPr>
  </w:style>
  <w:style w:type="paragraph" w:styleId="NormalWeb">
    <w:name w:val="Normal (Web)"/>
    <w:basedOn w:val="Normal"/>
    <w:uiPriority w:val="99"/>
    <w:unhideWhenUsed w:val="1"/>
    <w:rsid w:val="00F0077F"/>
    <w:pPr>
      <w:spacing w:after="100" w:afterAutospacing="1" w:before="100" w:beforeAutospacing="1"/>
    </w:pPr>
  </w:style>
  <w:style w:type="character" w:styleId="nfasis">
    <w:name w:val="Emphasis"/>
    <w:basedOn w:val="Fuentedeprrafopredeter"/>
    <w:uiPriority w:val="20"/>
    <w:qFormat w:val="1"/>
    <w:rsid w:val="00F0077F"/>
    <w:rPr>
      <w:i w:val="1"/>
      <w:iCs w:val="1"/>
    </w:rPr>
  </w:style>
  <w:style w:type="character" w:styleId="Hipervnculo">
    <w:name w:val="Hyperlink"/>
    <w:basedOn w:val="Fuentedeprrafopredeter"/>
    <w:uiPriority w:val="99"/>
    <w:unhideWhenUsed w:val="1"/>
    <w:rsid w:val="005B3E00"/>
    <w:rPr>
      <w:color w:val="0563c1" w:themeColor="hyperlink"/>
      <w:u w:val="single"/>
    </w:rPr>
  </w:style>
  <w:style w:type="character" w:styleId="Ttulo1Car" w:customStyle="1">
    <w:name w:val="Título 1 Car"/>
    <w:basedOn w:val="Fuentedeprrafopredeter"/>
    <w:link w:val="Ttulo1"/>
    <w:uiPriority w:val="9"/>
    <w:rsid w:val="008514AA"/>
    <w:rPr>
      <w:rFonts w:ascii="Times New Roman" w:cs="Times New Roman" w:eastAsia="Times New Roman" w:hAnsi="Times New Roman"/>
      <w:b w:val="1"/>
      <w:bCs w:val="1"/>
      <w:kern w:val="36"/>
      <w:sz w:val="48"/>
      <w:szCs w:val="48"/>
      <w:lang w:eastAsia="es-ES_tradnl"/>
    </w:rPr>
  </w:style>
  <w:style w:type="paragraph" w:styleId="Cuerpo" w:customStyle="1">
    <w:name w:val="Cuerpo"/>
    <w:rsid w:val="00A64531"/>
    <w:pPr>
      <w:pBdr>
        <w:top w:space="0" w:sz="0" w:val="nil"/>
        <w:left w:space="0" w:sz="0" w:val="nil"/>
        <w:bottom w:space="0" w:sz="0" w:val="nil"/>
        <w:right w:space="0" w:sz="0" w:val="nil"/>
        <w:between w:space="0" w:sz="0" w:val="nil"/>
        <w:bar w:space="0" w:sz="0" w:val="nil"/>
      </w:pBdr>
      <w:jc w:val="left"/>
    </w:pPr>
    <w:rPr>
      <w:rFonts w:ascii="Helvetica Neue" w:cs="Arial Unicode MS" w:eastAsia="Arial Unicode MS" w:hAnsi="Helvetica Neue"/>
      <w:color w:val="000000"/>
      <w:sz w:val="22"/>
      <w:szCs w:val="22"/>
      <w:bdr w:space="0" w:sz="0" w:val="nil"/>
      <w:lang w:eastAsia="ja-JP" w:val="es-ES_tradnl"/>
      <w14:textOutline w14:cap="flat" w14:cmpd="sng" w14:algn="ctr">
        <w14:noFill/>
        <w14:prstDash w14:val="solid"/>
        <w14:bevel/>
      </w14:textOutline>
    </w:rPr>
  </w:style>
  <w:style w:type="character" w:styleId="Ninguno" w:customStyle="1">
    <w:name w:val="Ninguno"/>
    <w:rsid w:val="00A64531"/>
    <w:rPr>
      <w:lang w:val="es-ES_tradnl"/>
    </w:rPr>
  </w:style>
  <w:style w:type="paragraph" w:styleId="p1" w:customStyle="1">
    <w:name w:val="p1"/>
    <w:basedOn w:val="Normal"/>
    <w:rsid w:val="001B7BC6"/>
    <w:rPr>
      <w:color w:val="000000"/>
      <w:sz w:val="18"/>
      <w:szCs w:val="18"/>
    </w:rPr>
  </w:style>
  <w:style w:type="character" w:styleId="s1" w:customStyle="1">
    <w:name w:val="s1"/>
    <w:basedOn w:val="Fuentedeprrafopredeter"/>
    <w:rsid w:val="001B7BC6"/>
    <w:rPr>
      <w:rFonts w:ascii="TimesNewRomanPS-BoldItalicMT" w:cs="TimesNewRomanPS-BoldItalicMT" w:hAnsi="TimesNewRomanPS-BoldItalicMT" w:hint="default"/>
      <w:b w:val="1"/>
      <w:bCs w:val="1"/>
      <w:i w:val="1"/>
      <w:iCs w:val="1"/>
      <w:sz w:val="18"/>
      <w:szCs w:val="18"/>
    </w:rPr>
  </w:style>
  <w:style w:type="character" w:styleId="s2" w:customStyle="1">
    <w:name w:val="s2"/>
    <w:basedOn w:val="Fuentedeprrafopredeter"/>
    <w:rsid w:val="001B7BC6"/>
    <w:rPr>
      <w:rFonts w:ascii="TimesNewRomanPS-BoldMT" w:cs="TimesNewRomanPS-BoldMT" w:hAnsi="TimesNewRomanPS-BoldMT" w:hint="default"/>
      <w:b w:val="1"/>
      <w:bCs w:val="1"/>
      <w:i w:val="0"/>
      <w:iCs w:val="0"/>
      <w:sz w:val="18"/>
      <w:szCs w:val="18"/>
    </w:rPr>
  </w:style>
  <w:style w:type="character" w:styleId="s3" w:customStyle="1">
    <w:name w:val="s3"/>
    <w:basedOn w:val="Fuentedeprrafopredeter"/>
    <w:rsid w:val="001B7BC6"/>
    <w:rPr>
      <w:rFonts w:ascii="Times New Roman" w:cs="Times New Roman" w:hAnsi="Times New Roman" w:hint="default"/>
      <w:b w:val="0"/>
      <w:bCs w:val="0"/>
      <w:i w:val="0"/>
      <w:iCs w:val="0"/>
      <w:sz w:val="18"/>
      <w:szCs w:val="18"/>
    </w:rPr>
  </w:style>
  <w:style w:type="character" w:styleId="Mencinsinresolver1" w:customStyle="1">
    <w:name w:val="Mención sin resolver1"/>
    <w:basedOn w:val="Fuentedeprrafopredeter"/>
    <w:uiPriority w:val="99"/>
    <w:semiHidden w:val="1"/>
    <w:unhideWhenUsed w:val="1"/>
    <w:rsid w:val="006A70D6"/>
    <w:rPr>
      <w:color w:val="605e5c"/>
      <w:shd w:color="auto" w:fill="e1dfdd" w:val="clear"/>
    </w:rPr>
  </w:style>
  <w:style w:type="character" w:styleId="Hipervnculovisitado">
    <w:name w:val="FollowedHyperlink"/>
    <w:basedOn w:val="Fuentedeprrafopredeter"/>
    <w:uiPriority w:val="99"/>
    <w:semiHidden w:val="1"/>
    <w:unhideWhenUsed w:val="1"/>
    <w:rsid w:val="002A21C7"/>
    <w:rPr>
      <w:color w:val="954f72" w:themeColor="followedHyperlink"/>
      <w:u w:val="single"/>
    </w:rPr>
  </w:style>
  <w:style w:type="paragraph" w:styleId="Body" w:customStyle="1">
    <w:name w:val="Body"/>
    <w:rsid w:val="0002537F"/>
    <w:pPr>
      <w:pBdr>
        <w:top w:space="0" w:sz="0" w:val="nil"/>
        <w:left w:space="0" w:sz="0" w:val="nil"/>
        <w:bottom w:space="0" w:sz="0" w:val="nil"/>
        <w:right w:space="0" w:sz="0" w:val="nil"/>
        <w:between w:space="0" w:sz="0" w:val="nil"/>
        <w:bar w:space="0" w:sz="0" w:val="nil"/>
      </w:pBdr>
      <w:jc w:val="left"/>
    </w:pPr>
    <w:rPr>
      <w:rFonts w:ascii="Calibri" w:cs="Arial Unicode MS" w:eastAsia="Arial Unicode MS" w:hAnsi="Calibri"/>
      <w:color w:val="000000"/>
      <w:u w:color="000000"/>
      <w:bdr w:space="0" w:sz="0" w:val="nil"/>
      <w:lang w:eastAsia="es-MX" w:val="es-ES_tradnl"/>
    </w:rPr>
  </w:style>
  <w:style w:type="paragraph" w:styleId="BodyA" w:customStyle="1">
    <w:name w:val="Body A"/>
    <w:rsid w:val="0002537F"/>
    <w:pPr>
      <w:pBdr>
        <w:top w:space="0" w:sz="0" w:val="nil"/>
        <w:left w:space="0" w:sz="0" w:val="nil"/>
        <w:bottom w:space="0" w:sz="0" w:val="nil"/>
        <w:right w:space="0" w:sz="0" w:val="nil"/>
        <w:between w:space="0" w:sz="0" w:val="nil"/>
        <w:bar w:space="0" w:sz="0" w:val="nil"/>
      </w:pBdr>
      <w:jc w:val="left"/>
    </w:pPr>
    <w:rPr>
      <w:rFonts w:ascii="Helvetica Neue" w:cs="Arial Unicode MS" w:eastAsia="Arial Unicode MS" w:hAnsi="Helvetica Neue"/>
      <w:color w:val="000000"/>
      <w:sz w:val="22"/>
      <w:szCs w:val="22"/>
      <w:u w:color="000000"/>
      <w:bdr w:space="0" w:sz="0" w:val="nil"/>
      <w:lang w:eastAsia="es-MX" w:val="es-ES_tradnl"/>
    </w:rPr>
  </w:style>
  <w:style w:type="character" w:styleId="apple-converted-space" w:customStyle="1">
    <w:name w:val="apple-converted-space"/>
    <w:basedOn w:val="Fuentedeprrafopredeter"/>
    <w:rsid w:val="0045595E"/>
  </w:style>
  <w:style w:type="character" w:styleId="Mencinsinresolver">
    <w:name w:val="Unresolved Mention"/>
    <w:basedOn w:val="Fuentedeprrafopredeter"/>
    <w:uiPriority w:val="99"/>
    <w:semiHidden w:val="1"/>
    <w:unhideWhenUsed w:val="1"/>
    <w:rsid w:val="008C499C"/>
    <w:rPr>
      <w:color w:val="605e5c"/>
      <w:shd w:color="auto" w:fill="e1dfdd" w:val="clear"/>
    </w:rPr>
  </w:style>
  <w:style w:type="paragraph" w:styleId="li1" w:customStyle="1">
    <w:name w:val="li1"/>
    <w:basedOn w:val="Normal"/>
    <w:rsid w:val="00E72846"/>
    <w:rPr>
      <w:rFonts w:ascii=".AppleSystemUIFont" w:hAnsi=".AppleSystemUIFont"/>
      <w:sz w:val="35"/>
      <w:szCs w:val="35"/>
    </w:rPr>
  </w:style>
  <w:style w:type="paragraph" w:styleId="Sinespaciado">
    <w:name w:val="No Spacing"/>
    <w:uiPriority w:val="1"/>
    <w:qFormat w:val="1"/>
    <w:rsid w:val="006669E6"/>
    <w:pPr>
      <w:pBdr>
        <w:top w:space="0" w:sz="0" w:val="nil"/>
        <w:left w:space="0" w:sz="0" w:val="nil"/>
        <w:bottom w:space="0" w:sz="0" w:val="nil"/>
        <w:right w:space="0" w:sz="0" w:val="nil"/>
        <w:between w:space="0" w:sz="0" w:val="nil"/>
        <w:bar w:space="0" w:sz="0" w:val="nil"/>
      </w:pBdr>
      <w:jc w:val="left"/>
    </w:pPr>
    <w:rPr>
      <w:rFonts w:ascii="Times New Roman" w:cs="Times New Roman" w:eastAsia="Arial Unicode MS" w:hAnsi="Times New Roman"/>
      <w:bdr w:space="0" w:sz="0" w:val="nil"/>
      <w:lang w:val="en-US"/>
    </w:rPr>
  </w:style>
  <w:style w:type="character" w:styleId="s15" w:customStyle="1">
    <w:name w:val="s15"/>
    <w:basedOn w:val="Fuentedeprrafopredeter"/>
    <w:rsid w:val="00A82F98"/>
  </w:style>
  <w:style w:type="character" w:styleId="Textoennegrita">
    <w:name w:val="Strong"/>
    <w:basedOn w:val="Fuentedeprrafopredeter"/>
    <w:uiPriority w:val="22"/>
    <w:qFormat w:val="1"/>
    <w:rsid w:val="00D500E5"/>
    <w:rPr>
      <w:b w:val="1"/>
      <w:bCs w:val="1"/>
    </w:rPr>
  </w:style>
  <w:style w:type="character" w:styleId="s6" w:customStyle="1">
    <w:name w:val="s6"/>
    <w:basedOn w:val="Fuentedeprrafopredeter"/>
    <w:rsid w:val="00616D3D"/>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3.png"/><Relationship Id="rId3"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KRcQVY8IuaSdiGuQtbjxwqJ65A==">CgMxLjA4AHIhMV9EQ1QzQzJJV2hfZTNZRDZNbzRUTE85cWZkQ2RScHRJ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2026-09-23T07:43:00Z</dcterms:created>
  <dc:creator>Espinosa Esparza, Alberto</dc:creator>
</cp:coreProperties>
</file>