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BC516">
      <w:pPr>
        <w:jc w:val="right"/>
        <w:rPr>
          <w:color w:val="000000" w:themeColor="text1"/>
          <w14:textFill>
            <w14:solidFill>
              <w14:schemeClr w14:val="tx1"/>
            </w14:solidFill>
          </w14:textFill>
        </w:rPr>
      </w:pPr>
      <w:r>
        <w:rPr>
          <w:color w:val="000000" w:themeColor="text1"/>
          <w14:textFill>
            <w14:solidFill>
              <w14:schemeClr w14:val="tx1"/>
            </w14:solidFill>
          </w14:textFill>
        </w:rPr>
        <w:t>Querétaro, Qro.,  23 de septiembre de 2026</w:t>
      </w:r>
    </w:p>
    <w:p w14:paraId="0744C752">
      <w:pPr>
        <w:jc w:val="center"/>
        <w:rPr>
          <w:rFonts w:eastAsia="Avenir" w:cs="Avenir"/>
          <w:b/>
          <w:color w:val="000000" w:themeColor="text1"/>
          <w:sz w:val="26"/>
          <w:szCs w:val="26"/>
          <w14:textFill>
            <w14:solidFill>
              <w14:schemeClr w14:val="tx1"/>
            </w14:solidFill>
          </w14:textFill>
        </w:rPr>
      </w:pPr>
    </w:p>
    <w:p w14:paraId="749F3E99">
      <w:pPr>
        <w:jc w:val="center"/>
        <w:rPr>
          <w:rFonts w:eastAsia="Avenir" w:cs="Avenir"/>
          <w:b/>
          <w:color w:val="000000" w:themeColor="text1"/>
          <w:sz w:val="26"/>
          <w:szCs w:val="26"/>
          <w14:textFill>
            <w14:solidFill>
              <w14:schemeClr w14:val="tx1"/>
            </w14:solidFill>
          </w14:textFill>
        </w:rPr>
      </w:pPr>
      <w:r>
        <w:rPr>
          <w:rFonts w:eastAsia="Avenir" w:cs="Avenir"/>
          <w:b/>
          <w:color w:val="000000" w:themeColor="text1"/>
          <w:sz w:val="26"/>
          <w:szCs w:val="26"/>
          <w14:textFill>
            <w14:solidFill>
              <w14:schemeClr w14:val="tx1"/>
            </w14:solidFill>
          </w14:textFill>
        </w:rPr>
        <w:t>BOLETÍN 07/23</w:t>
      </w:r>
    </w:p>
    <w:p w14:paraId="1C315B0F">
      <w:pPr>
        <w:rPr>
          <w:rFonts w:eastAsia="Avenir" w:cs="Avenir"/>
          <w:b/>
          <w:color w:val="000000" w:themeColor="text1"/>
          <w:sz w:val="26"/>
          <w:szCs w:val="26"/>
          <w14:textFill>
            <w14:solidFill>
              <w14:schemeClr w14:val="tx1"/>
            </w14:solidFill>
          </w14:textFill>
        </w:rPr>
      </w:pPr>
    </w:p>
    <w:p w14:paraId="24593AA5">
      <w:pPr>
        <w:jc w:val="center"/>
        <w:rPr>
          <w:b/>
          <w:bCs/>
          <w:color w:val="000000" w:themeColor="text1"/>
          <w:lang w:val="es-ES"/>
          <w14:textFill>
            <w14:solidFill>
              <w14:schemeClr w14:val="tx1"/>
            </w14:solidFill>
          </w14:textFill>
        </w:rPr>
      </w:pPr>
      <w:r>
        <w:rPr>
          <w:b/>
          <w:bCs/>
          <w:color w:val="000000" w:themeColor="text1"/>
          <w:lang w:val="es-ES"/>
          <w14:textFill>
            <w14:solidFill>
              <w14:schemeClr w14:val="tx1"/>
            </w14:solidFill>
          </w14:textFill>
        </w:rPr>
        <w:t>Presenta SDUOP avances y resultados en obras e infraestructura para el desarrollo de Querétaro</w:t>
      </w:r>
    </w:p>
    <w:p w14:paraId="480C185D">
      <w:pPr>
        <w:jc w:val="center"/>
        <w:rPr>
          <w:b/>
          <w:bCs/>
          <w:color w:val="000000" w:themeColor="text1"/>
          <w:lang w:val="es-ES"/>
          <w14:textFill>
            <w14:solidFill>
              <w14:schemeClr w14:val="tx1"/>
            </w14:solidFill>
          </w14:textFill>
        </w:rPr>
      </w:pPr>
    </w:p>
    <w:p w14:paraId="4F455B13">
      <w:pPr>
        <w:pStyle w:val="9"/>
        <w:numPr>
          <w:ilvl w:val="0"/>
          <w:numId w:val="1"/>
        </w:numPr>
        <w:rPr>
          <w:rFonts w:ascii="Avenir Book" w:hAnsi="Avenir Book"/>
          <w:bCs/>
          <w:color w:val="000000" w:themeColor="text1"/>
          <w14:textFill>
            <w14:solidFill>
              <w14:schemeClr w14:val="tx1"/>
            </w14:solidFill>
          </w14:textFill>
        </w:rPr>
      </w:pPr>
      <w:r>
        <w:rPr>
          <w:rFonts w:ascii="Avenir Book" w:hAnsi="Avenir Book"/>
          <w:bCs/>
          <w:color w:val="000000" w:themeColor="text1"/>
          <w14:textFill>
            <w14:solidFill>
              <w14:schemeClr w14:val="tx1"/>
            </w14:solidFill>
          </w14:textFill>
        </w:rPr>
        <w:t>Infraestructura que atiende las necesidades de las familias.</w:t>
      </w:r>
    </w:p>
    <w:p w14:paraId="32C3D958">
      <w:pPr>
        <w:pStyle w:val="9"/>
        <w:numPr>
          <w:ilvl w:val="0"/>
          <w:numId w:val="1"/>
        </w:numPr>
        <w:rPr>
          <w:rFonts w:ascii="Avenir Book" w:hAnsi="Avenir Book"/>
          <w:bCs/>
          <w:color w:val="000000" w:themeColor="text1"/>
          <w14:textFill>
            <w14:solidFill>
              <w14:schemeClr w14:val="tx1"/>
            </w14:solidFill>
          </w14:textFill>
        </w:rPr>
      </w:pPr>
      <w:r>
        <w:rPr>
          <w:rFonts w:ascii="Avenir Book" w:hAnsi="Avenir Book"/>
          <w:bCs/>
          <w:color w:val="000000" w:themeColor="text1"/>
          <w14:textFill>
            <w14:solidFill>
              <w14:schemeClr w14:val="tx1"/>
            </w14:solidFill>
          </w14:textFill>
        </w:rPr>
        <w:t>Más de mil kilómetros de carreteras con conservación permanente.</w:t>
      </w:r>
    </w:p>
    <w:p w14:paraId="141A8F4E">
      <w:pPr>
        <w:pStyle w:val="9"/>
        <w:numPr>
          <w:ilvl w:val="0"/>
          <w:numId w:val="1"/>
        </w:numPr>
        <w:rPr>
          <w:rFonts w:ascii="Avenir Book" w:hAnsi="Avenir Book"/>
          <w:bCs/>
          <w:color w:val="000000" w:themeColor="text1"/>
          <w14:textFill>
            <w14:solidFill>
              <w14:schemeClr w14:val="tx1"/>
            </w14:solidFill>
          </w14:textFill>
        </w:rPr>
      </w:pPr>
      <w:r>
        <w:rPr>
          <w:rFonts w:ascii="Avenir Book" w:hAnsi="Avenir Book"/>
          <w:bCs/>
          <w:color w:val="000000" w:themeColor="text1"/>
          <w14:textFill>
            <w14:solidFill>
              <w14:schemeClr w14:val="tx1"/>
            </w14:solidFill>
          </w14:textFill>
        </w:rPr>
        <w:t>Obras que fortalecen la conectividad y el desarrollo estatal.</w:t>
      </w:r>
    </w:p>
    <w:p w14:paraId="65A33C2A">
      <w:pPr>
        <w:rPr>
          <w:color w:val="000000" w:themeColor="text1"/>
          <w:lang w:val="es-ES"/>
          <w14:textFill>
            <w14:solidFill>
              <w14:schemeClr w14:val="tx1"/>
            </w14:solidFill>
          </w14:textFill>
        </w:rPr>
      </w:pPr>
    </w:p>
    <w:p w14:paraId="4AC48BCF">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En el marco de la Glosa del Quinto Informe de Gobierno ante la LXI Legislatura del Estado de Querétaro, el titular de la Secretaría de Desarrollo Urbano y Obras Públicas (SDUOP), José Pío X Salgado Tovar, presentó las acciones ejecutadas durante el periodo que se informa, correspondiente a la administración del gobernador Mauricio Kuri González</w:t>
      </w:r>
      <w:r>
        <w:rPr>
          <w:rFonts w:hint="default"/>
          <w:color w:val="000000" w:themeColor="text1"/>
          <w:lang w:val="es-MX"/>
          <w14:textFill>
            <w14:solidFill>
              <w14:schemeClr w14:val="tx1"/>
            </w14:solidFill>
          </w14:textFill>
        </w:rPr>
        <w:t xml:space="preserve">; </w:t>
      </w:r>
      <w:r>
        <w:rPr>
          <w:color w:val="000000" w:themeColor="text1"/>
          <w:lang w:val="es-ES"/>
          <w14:textFill>
            <w14:solidFill>
              <w14:schemeClr w14:val="tx1"/>
            </w14:solidFill>
          </w14:textFill>
        </w:rPr>
        <w:t xml:space="preserve">expuso que, mediante los trabajos </w:t>
      </w:r>
      <w:r>
        <w:rPr>
          <w:rFonts w:hint="default"/>
          <w:color w:val="000000" w:themeColor="text1"/>
          <w:lang w:val="es-MX"/>
          <w14:textFill>
            <w14:solidFill>
              <w14:schemeClr w14:val="tx1"/>
            </w14:solidFill>
          </w14:textFill>
        </w:rPr>
        <w:t xml:space="preserve">realizados </w:t>
      </w:r>
      <w:r>
        <w:rPr>
          <w:color w:val="000000" w:themeColor="text1"/>
          <w:lang w:val="es-ES"/>
          <w14:textFill>
            <w14:solidFill>
              <w14:schemeClr w14:val="tx1"/>
            </w14:solidFill>
          </w14:textFill>
        </w:rPr>
        <w:t>se han impulsado intervenciones en los rubros de deporte y recreación, cultura, seguridad, caminos, vialidades, infraestructura y equipamiento.</w:t>
      </w:r>
    </w:p>
    <w:p w14:paraId="5427C29F">
      <w:pPr>
        <w:rPr>
          <w:color w:val="000000" w:themeColor="text1"/>
          <w:lang w:val="es-ES"/>
          <w14:textFill>
            <w14:solidFill>
              <w14:schemeClr w14:val="tx1"/>
            </w14:solidFill>
          </w14:textFill>
        </w:rPr>
      </w:pPr>
    </w:p>
    <w:p w14:paraId="71345A37">
      <w:pPr>
        <w:rPr>
          <w:color w:val="000000" w:themeColor="text1"/>
          <w:lang w:val="es-ES"/>
          <w14:textFill>
            <w14:solidFill>
              <w14:schemeClr w14:val="tx1"/>
            </w14:solidFill>
          </w14:textFill>
        </w:rPr>
      </w:pPr>
      <w:r>
        <w:rPr>
          <w:rFonts w:hint="default"/>
          <w:color w:val="000000" w:themeColor="text1"/>
          <w:lang w:val="es-MX"/>
          <w14:textFill>
            <w14:solidFill>
              <w14:schemeClr w14:val="tx1"/>
            </w14:solidFill>
          </w14:textFill>
        </w:rPr>
        <w:t>Detalló que</w:t>
      </w:r>
      <w:r>
        <w:rPr>
          <w:color w:val="000000" w:themeColor="text1"/>
          <w:lang w:val="es-ES"/>
          <w14:textFill>
            <w14:solidFill>
              <w14:schemeClr w14:val="tx1"/>
            </w14:solidFill>
          </w14:textFill>
        </w:rPr>
        <w:t xml:space="preserve"> la dependencia trabajó, en coordinación con las autoridades municipales, en la actualización de los 18 Programas Municipales de Desarrollo Urbano, con el propósito de regular la ocupación del territorio mediante la adecuada administración del desarrollo urbano municipal y contribuir a la consolidación sostenible de los centros de población en todo el estado.</w:t>
      </w:r>
    </w:p>
    <w:p w14:paraId="1878A3E0">
      <w:pPr>
        <w:rPr>
          <w:color w:val="000000" w:themeColor="text1"/>
          <w:lang w:val="es-ES"/>
          <w14:textFill>
            <w14:solidFill>
              <w14:schemeClr w14:val="tx1"/>
            </w14:solidFill>
          </w14:textFill>
        </w:rPr>
      </w:pPr>
    </w:p>
    <w:p w14:paraId="0075DDE8">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En el rubro de infraestructura y equipamiento, Salgado Tovar señaló que la SDUOP realiza la construcción del Centro de Salud de Santa Rosa de Lima, en Colón, una obra de alcance regional que permitirá fortalecer la atención de las y los habitantes de comunidades como Piedras Negras, Santa Rosa Finca, Santa Rosa de Lima y Los Benitos, en un punto accesible para la población. Asimismo, destacó la primera etapa del edificio del Instituto de Capacitación para el Trabajo del Estado de Querétaro (ICATEQ), que permitirá contar con espacios adecuados para fortalecer y ampliar la capacitación de las y los trabajadores del estado.</w:t>
      </w:r>
    </w:p>
    <w:p w14:paraId="3C1AB7C4">
      <w:pPr>
        <w:rPr>
          <w:color w:val="000000" w:themeColor="text1"/>
          <w:lang w:val="es-ES"/>
          <w14:textFill>
            <w14:solidFill>
              <w14:schemeClr w14:val="tx1"/>
            </w14:solidFill>
          </w14:textFill>
        </w:rPr>
      </w:pPr>
    </w:p>
    <w:p w14:paraId="1F2AF4C3">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 xml:space="preserve">Respecto a la infraestructura para el deporte y la recreación, el titular de la dependencia destacó la rehabilitación del parque en la colonia San Pablo, en la capital queretana, que brinda un espacio renovado con cancha de fútbol, cancha de usos múltiples, reja perimetral y un anfiteatro para actividades culturales, generando mejores condiciones para el esparcimiento y la convivencia familiar. </w:t>
      </w:r>
    </w:p>
    <w:p w14:paraId="7D1D3F46">
      <w:pPr>
        <w:rPr>
          <w:color w:val="000000" w:themeColor="text1"/>
          <w:lang w:val="es-ES"/>
          <w14:textFill>
            <w14:solidFill>
              <w14:schemeClr w14:val="tx1"/>
            </w14:solidFill>
          </w14:textFill>
        </w:rPr>
      </w:pPr>
    </w:p>
    <w:p w14:paraId="44CEAC60">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Asimismo, mencionó la rehabilitación que actualmente se realiza en la Unidad Deportiva de Purísima de Arista, en Arroyo Seco, que contará con cancha de fútbol y trotapista, con el objetivo de impulsar el talento regional y beneficiar a habitantes de la zona y de comunidades de la Sierra Gorda.</w:t>
      </w:r>
    </w:p>
    <w:p w14:paraId="30322434">
      <w:pPr>
        <w:rPr>
          <w:color w:val="000000" w:themeColor="text1"/>
          <w:lang w:val="es-ES"/>
          <w14:textFill>
            <w14:solidFill>
              <w14:schemeClr w14:val="tx1"/>
            </w14:solidFill>
          </w14:textFill>
        </w:rPr>
      </w:pPr>
    </w:p>
    <w:p w14:paraId="47B7C753">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En materia de conservación del patrimonio cultural edificado, destacó que la Secretaría realizó trabajos de preservación y restauración en las misiones de San Miguel Concá, en Arroyo Seco, y Tancoyol, en Jalpan de Serra, así como en la parroquia de Ahuacatlán de Guadalupe, en Pinal de Amoles; además del Museo de Arte Sacro y el Santuario de La Congregación, en la ciudad de Querétaro. Estas intervenciones contribuyen al cumplimiento de los objetivos de conservación y protección del patrimonio cultural en los ámbitos nacional e internacional.</w:t>
      </w:r>
    </w:p>
    <w:p w14:paraId="584D08D6">
      <w:pPr>
        <w:rPr>
          <w:color w:val="000000" w:themeColor="text1"/>
          <w:lang w:val="es-ES"/>
          <w14:textFill>
            <w14:solidFill>
              <w14:schemeClr w14:val="tx1"/>
            </w14:solidFill>
          </w14:textFill>
        </w:rPr>
      </w:pPr>
    </w:p>
    <w:p w14:paraId="7066A865">
      <w:pPr>
        <w:rPr>
          <w:color w:val="000000" w:themeColor="text1"/>
          <w:lang w:val="es-ES"/>
          <w14:textFill>
            <w14:solidFill>
              <w14:schemeClr w14:val="tx1"/>
            </w14:solidFill>
          </w14:textFill>
        </w:rPr>
      </w:pPr>
      <w:r>
        <w:rPr>
          <w:rFonts w:hint="default"/>
          <w:color w:val="000000" w:themeColor="text1"/>
          <w:lang w:val="es-MX"/>
          <w14:textFill>
            <w14:solidFill>
              <w14:schemeClr w14:val="tx1"/>
            </w14:solidFill>
          </w14:textFill>
        </w:rPr>
        <w:t xml:space="preserve">Compartió que debido a </w:t>
      </w:r>
      <w:r>
        <w:rPr>
          <w:color w:val="000000" w:themeColor="text1"/>
          <w:lang w:val="es-ES"/>
          <w14:textFill>
            <w14:solidFill>
              <w14:schemeClr w14:val="tx1"/>
            </w14:solidFill>
          </w14:textFill>
        </w:rPr>
        <w:t>la importancia de contar con infraestructura que contribuya a acercar la seguridad y la justicia a las familias y fortalezca la confianza ciudadana</w:t>
      </w:r>
      <w:r>
        <w:rPr>
          <w:rFonts w:hint="default"/>
          <w:color w:val="000000" w:themeColor="text1"/>
          <w:lang w:val="es-MX"/>
          <w14:textFill>
            <w14:solidFill>
              <w14:schemeClr w14:val="tx1"/>
            </w14:solidFill>
          </w14:textFill>
        </w:rPr>
        <w:t xml:space="preserve">, </w:t>
      </w:r>
      <w:r>
        <w:rPr>
          <w:color w:val="000000" w:themeColor="text1"/>
          <w:lang w:val="es-ES"/>
          <w14:textFill>
            <w14:solidFill>
              <w14:schemeClr w14:val="tx1"/>
            </w14:solidFill>
          </w14:textFill>
        </w:rPr>
        <w:t>se realizaron obras como la remodelación de espacios en la Ciudad Judicial de San Juan del Río, orientada a fortalecer el acceso a la impartición de justicia y brindar mayor cercanía a la ciudadanía, que contempla áreas como vestíbulo, oficialía de partes y zona de actuarios.</w:t>
      </w:r>
    </w:p>
    <w:p w14:paraId="4FF38130">
      <w:pPr>
        <w:rPr>
          <w:color w:val="000000" w:themeColor="text1"/>
          <w:lang w:val="es-ES"/>
          <w14:textFill>
            <w14:solidFill>
              <w14:schemeClr w14:val="tx1"/>
            </w14:solidFill>
          </w14:textFill>
        </w:rPr>
      </w:pPr>
    </w:p>
    <w:p w14:paraId="2D572474">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Asimismo, mencionó la construcción de la Unidad de Análisis Criminal, comedor y banco de armas al interior de la Fiscalía General del Estado, acciones que permiten ampliar la capacidad del centro de monitoreo, mejorar las condiciones para el personal y optimizar el resguardo del armamento institucional con certeza operativa.</w:t>
      </w:r>
    </w:p>
    <w:p w14:paraId="378870CB">
      <w:pPr>
        <w:rPr>
          <w:color w:val="000000" w:themeColor="text1"/>
          <w:lang w:val="es-ES"/>
          <w14:textFill>
            <w14:solidFill>
              <w14:schemeClr w14:val="tx1"/>
            </w14:solidFill>
          </w14:textFill>
        </w:rPr>
      </w:pPr>
    </w:p>
    <w:p w14:paraId="031E3010">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Salgado Tovar indicó que los trabajos de conservación carretera son fundamentales para mantener la conectividad del estado. En este sentido, a través de la Comisión Estatal de Infraestructura (CEI), se mantiene en buen estado de conservación la red estatal de carreteras, compuesta por cerca de mil 200 kilómetros, mediante la operación de 17 brigadas de camineros que trabajan los 365 días del año en labores de conservación permanente.</w:t>
      </w:r>
    </w:p>
    <w:p w14:paraId="47CFF0DC">
      <w:pPr>
        <w:rPr>
          <w:color w:val="000000" w:themeColor="text1"/>
          <w:lang w:val="es-ES"/>
          <w14:textFill>
            <w14:solidFill>
              <w14:schemeClr w14:val="tx1"/>
            </w14:solidFill>
          </w14:textFill>
        </w:rPr>
      </w:pPr>
    </w:p>
    <w:p w14:paraId="382698F3">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Destacó las rehabilitaciones realizadas en las carreteras estatales 100, 110, 200 y 400, en los municipios de El Marqués, Colón, Tolimán, Huimilpan y Querétaro, mediante trabajos de renivelación, reconstrucción, bacheo profundo y señalamiento, acciones que contribuyen a mejorar la seguridad vial y fortalecer la conectividad y el desarrollo económico de las regiones.</w:t>
      </w:r>
    </w:p>
    <w:p w14:paraId="3C31BF91">
      <w:pPr>
        <w:rPr>
          <w:color w:val="000000" w:themeColor="text1"/>
          <w:lang w:val="es-ES"/>
          <w14:textFill>
            <w14:solidFill>
              <w14:schemeClr w14:val="tx1"/>
            </w14:solidFill>
          </w14:textFill>
        </w:rPr>
      </w:pPr>
    </w:p>
    <w:p w14:paraId="3BC67287">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En respuesta a las eventualidades climáticas que afectaron las regiones de la Sierra Gorda y el semidesierto, el titular de la SDUOP destacó la capacidad de respuesta y las acciones de mitigación implementadas para atender más de 220 derrumbes, así como los trabajos de reconstrucción y conservación de caminos en colonias y localidades rurales.</w:t>
      </w:r>
    </w:p>
    <w:p w14:paraId="168C56B2">
      <w:pPr>
        <w:rPr>
          <w:color w:val="000000" w:themeColor="text1"/>
          <w:lang w:val="es-ES"/>
          <w14:textFill>
            <w14:solidFill>
              <w14:schemeClr w14:val="tx1"/>
            </w14:solidFill>
          </w14:textFill>
        </w:rPr>
      </w:pPr>
    </w:p>
    <w:p w14:paraId="4FC41363">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 xml:space="preserve">Detalló la atención de 200 kilómetros de vías en los municipios de Jalpan de Serra, Pinal de Amoles, Landa de Matamoros, Arroyo Seco, San Joaquín, Peñamiller, Cadereyta de Montes y Tolimán, mediante acciones como reconstrucción con concreto hidráulico, construcción de muros de contención, atención de socavones y mitigación de puntos críticos. </w:t>
      </w:r>
    </w:p>
    <w:p w14:paraId="25DEE3B9">
      <w:pPr>
        <w:rPr>
          <w:color w:val="000000" w:themeColor="text1"/>
          <w:lang w:val="es-ES"/>
          <w14:textFill>
            <w14:solidFill>
              <w14:schemeClr w14:val="tx1"/>
            </w14:solidFill>
          </w14:textFill>
        </w:rPr>
      </w:pPr>
    </w:p>
    <w:p w14:paraId="47248420">
      <w:pPr>
        <w:rPr>
          <w:color w:val="000000" w:themeColor="text1"/>
          <w:lang w:val="es-ES"/>
          <w14:textFill>
            <w14:solidFill>
              <w14:schemeClr w14:val="tx1"/>
            </w14:solidFill>
          </w14:textFill>
        </w:rPr>
      </w:pPr>
      <w:r>
        <w:rPr>
          <w:rFonts w:hint="default"/>
          <w:color w:val="000000" w:themeColor="text1"/>
          <w:lang w:val="es-MX"/>
          <w14:textFill>
            <w14:solidFill>
              <w14:schemeClr w14:val="tx1"/>
            </w14:solidFill>
          </w14:textFill>
        </w:rPr>
        <w:t xml:space="preserve">De igual manera, el funcionario estatal </w:t>
      </w:r>
      <w:r>
        <w:rPr>
          <w:color w:val="000000" w:themeColor="text1"/>
          <w:lang w:val="es-ES"/>
          <w14:textFill>
            <w14:solidFill>
              <w14:schemeClr w14:val="tx1"/>
            </w14:solidFill>
          </w14:textFill>
        </w:rPr>
        <w:t>destacó las intervenciones permanentes en accesos estratégicos como El Rayo y Neblinas, que permiten restablecer la movilidad en zonas de difícil acceso y contribuir a la reactivación turística de la región.</w:t>
      </w:r>
    </w:p>
    <w:p w14:paraId="4E5E2DEF">
      <w:pPr>
        <w:rPr>
          <w:color w:val="000000" w:themeColor="text1"/>
          <w:lang w:val="es-ES"/>
          <w14:textFill>
            <w14:solidFill>
              <w14:schemeClr w14:val="tx1"/>
            </w14:solidFill>
          </w14:textFill>
        </w:rPr>
      </w:pPr>
    </w:p>
    <w:p w14:paraId="5EEDACB8">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También expuso la construcción de un nuevo puente en la comunidad de Nogales, Tolimán, derivada de las afectaciones ocasionadas por las lluvias registradas a mediados de 2025, que provocaron el desbordamiento del arroyo. Agregó que fue diseñad</w:t>
      </w:r>
      <w:r>
        <w:rPr>
          <w:rFonts w:hint="default"/>
          <w:color w:val="000000" w:themeColor="text1"/>
          <w:lang w:val="es-MX"/>
          <w14:textFill>
            <w14:solidFill>
              <w14:schemeClr w14:val="tx1"/>
            </w14:solidFill>
          </w14:textFill>
        </w:rPr>
        <w:t>o</w:t>
      </w:r>
      <w:r>
        <w:rPr>
          <w:color w:val="000000" w:themeColor="text1"/>
          <w:lang w:val="es-ES"/>
          <w14:textFill>
            <w14:solidFill>
              <w14:schemeClr w14:val="tx1"/>
            </w14:solidFill>
          </w14:textFill>
        </w:rPr>
        <w:t xml:space="preserve"> con una estructura de alta resistencia y mayor elevación, </w:t>
      </w:r>
      <w:r>
        <w:rPr>
          <w:rFonts w:hint="default"/>
          <w:color w:val="000000" w:themeColor="text1"/>
          <w:lang w:val="es-MX"/>
          <w14:textFill>
            <w14:solidFill>
              <w14:schemeClr w14:val="tx1"/>
            </w14:solidFill>
          </w14:textFill>
        </w:rPr>
        <w:t xml:space="preserve">para </w:t>
      </w:r>
      <w:r>
        <w:rPr>
          <w:color w:val="000000" w:themeColor="text1"/>
          <w:lang w:val="es-ES"/>
          <w14:textFill>
            <w14:solidFill>
              <w14:schemeClr w14:val="tx1"/>
            </w14:solidFill>
          </w14:textFill>
        </w:rPr>
        <w:t>reducir riesgos ante avenidas de agua y restablecer de manera segura la conectividad vial de más de 25 comunidades de la región del semidesierto.</w:t>
      </w:r>
    </w:p>
    <w:p w14:paraId="57CFDBB4">
      <w:pPr>
        <w:rPr>
          <w:color w:val="000000" w:themeColor="text1"/>
          <w:lang w:val="es-ES"/>
          <w14:textFill>
            <w14:solidFill>
              <w14:schemeClr w14:val="tx1"/>
            </w14:solidFill>
          </w14:textFill>
        </w:rPr>
      </w:pPr>
    </w:p>
    <w:p w14:paraId="5F07FAAA">
      <w:pPr>
        <w:rPr>
          <w:color w:val="000000" w:themeColor="text1"/>
          <w:lang w:val="es-ES"/>
          <w14:textFill>
            <w14:solidFill>
              <w14:schemeClr w14:val="tx1"/>
            </w14:solidFill>
          </w14:textFill>
        </w:rPr>
      </w:pPr>
      <w:r>
        <w:rPr>
          <w:rFonts w:hint="default"/>
          <w:color w:val="000000" w:themeColor="text1"/>
          <w:lang w:val="es-MX"/>
          <w14:textFill>
            <w14:solidFill>
              <w14:schemeClr w14:val="tx1"/>
            </w14:solidFill>
          </w14:textFill>
        </w:rPr>
        <w:t>Entre</w:t>
      </w:r>
      <w:r>
        <w:rPr>
          <w:color w:val="000000" w:themeColor="text1"/>
          <w:lang w:val="es-ES"/>
          <w14:textFill>
            <w14:solidFill>
              <w14:schemeClr w14:val="tx1"/>
            </w14:solidFill>
          </w14:textFill>
        </w:rPr>
        <w:t xml:space="preserve"> las acciones en materia de infraestructura pluvial, Salgado Tovar explicó la </w:t>
      </w:r>
      <w:r>
        <w:rPr>
          <w:rFonts w:hint="default"/>
          <w:color w:val="000000" w:themeColor="text1"/>
          <w:lang w:val="es-MX"/>
          <w14:textFill>
            <w14:solidFill>
              <w14:schemeClr w14:val="tx1"/>
            </w14:solidFill>
          </w14:textFill>
        </w:rPr>
        <w:t>obra</w:t>
      </w:r>
      <w:r>
        <w:rPr>
          <w:color w:val="000000" w:themeColor="text1"/>
          <w:lang w:val="es-ES"/>
          <w14:textFill>
            <w14:solidFill>
              <w14:schemeClr w14:val="tx1"/>
            </w14:solidFill>
          </w14:textFill>
        </w:rPr>
        <w:t xml:space="preserve"> de los bordos Cuates I y II, desarrollada con ingeniería hidráulica en la cuenca Menchaca, cuya capacidad conjunta de almacenamiento de hasta 90 mil metros cúbicos permite regular el escurrimiento hídrico hacia las zonas bajas de la ciudad y, con ello, reducir riesgos y afectaciones al patrimonio y a la integridad de las familias.</w:t>
      </w:r>
    </w:p>
    <w:p w14:paraId="30116877">
      <w:pPr>
        <w:rPr>
          <w:color w:val="000000" w:themeColor="text1"/>
          <w:lang w:val="es-ES"/>
          <w14:textFill>
            <w14:solidFill>
              <w14:schemeClr w14:val="tx1"/>
            </w14:solidFill>
          </w14:textFill>
        </w:rPr>
      </w:pPr>
    </w:p>
    <w:p w14:paraId="50283435">
      <w:pPr>
        <w:rPr>
          <w:color w:val="000000" w:themeColor="text1"/>
          <w:lang w:val="es-ES"/>
          <w14:textFill>
            <w14:solidFill>
              <w14:schemeClr w14:val="tx1"/>
            </w14:solidFill>
          </w14:textFill>
        </w:rPr>
      </w:pPr>
      <w:r>
        <w:rPr>
          <w:color w:val="000000" w:themeColor="text1"/>
          <w:lang w:val="es-ES"/>
          <w14:textFill>
            <w14:solidFill>
              <w14:schemeClr w14:val="tx1"/>
            </w14:solidFill>
          </w14:textFill>
        </w:rPr>
        <w:t>Respecto a los programas y acciones en materia de vivienda, el titular de la dependencia señaló que, a través del Instituto de la Vivienda del Estado de Querétaro (IVEQ), se promovieron acciones orientadas a facilitar el acceso a espacios dignos y reducir el rezago habitacional mediante el programa “Contigo por tu Vivienda”.</w:t>
      </w:r>
    </w:p>
    <w:p w14:paraId="52B1825B">
      <w:pPr>
        <w:rPr>
          <w:color w:val="000000" w:themeColor="text1"/>
          <w:lang w:val="es-ES"/>
          <w14:textFill>
            <w14:solidFill>
              <w14:schemeClr w14:val="tx1"/>
            </w14:solidFill>
          </w14:textFill>
        </w:rPr>
      </w:pPr>
    </w:p>
    <w:p w14:paraId="3015ABC1">
      <w:pPr>
        <w:rPr>
          <w:color w:val="000000" w:themeColor="text1"/>
          <w:lang w:val="es-ES"/>
          <w14:textFill>
            <w14:solidFill>
              <w14:schemeClr w14:val="tx1"/>
            </w14:solidFill>
          </w14:textFill>
        </w:rPr>
      </w:pPr>
      <w:bookmarkStart w:id="0" w:name="_GoBack"/>
      <w:bookmarkEnd w:id="0"/>
      <w:r>
        <w:rPr>
          <w:color w:val="000000" w:themeColor="text1"/>
          <w:lang w:val="es-ES"/>
          <w14:textFill>
            <w14:solidFill>
              <w14:schemeClr w14:val="tx1"/>
            </w14:solidFill>
          </w14:textFill>
        </w:rPr>
        <w:t>Salgado Tovar concluyó su participación al señalar que el sector de obra pública mantiene su trabajo permanente para atender las necesidades de infraestructura de la población y refrendó la disposición de continuar trabajando en coordinación con el Poder Legislativo, con el propósito de generar mejores condiciones de habitabilidad y bienestar para las y los queretanos.</w:t>
      </w:r>
    </w:p>
    <w:p w14:paraId="4A6AC9C1">
      <w:pPr>
        <w:jc w:val="right"/>
        <w:rPr>
          <w:color w:val="000000" w:themeColor="text1"/>
          <w:lang w:val="es-ES"/>
          <w14:textFill>
            <w14:solidFill>
              <w14:schemeClr w14:val="tx1"/>
            </w14:solidFill>
          </w14:textFill>
        </w:rPr>
      </w:pPr>
      <w:r>
        <w:rPr>
          <w:color w:val="000000" w:themeColor="text1"/>
          <w:lang w:val="es-ES"/>
          <w14:textFill>
            <w14:solidFill>
              <w14:schemeClr w14:val="tx1"/>
            </w14:solidFill>
          </w14:textFill>
        </w:rPr>
        <w:t>Fuente: SDUOP</w:t>
      </w:r>
    </w:p>
    <w:p w14:paraId="7DCAC541">
      <w:pPr>
        <w:rPr>
          <w:lang w:val="es-ES"/>
        </w:rPr>
      </w:pPr>
    </w:p>
    <w:p w14:paraId="66FE4E24">
      <w:pPr>
        <w:rPr>
          <w:lang w:val="es-ES"/>
        </w:rPr>
      </w:pPr>
    </w:p>
    <w:p w14:paraId="50E2012F">
      <w:pPr>
        <w:jc w:val="right"/>
        <w:rPr>
          <w:lang w:val="es-ES"/>
        </w:rPr>
      </w:pP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venir">
    <w:altName w:val="Avenir Regular"/>
    <w:panose1 w:val="02000503020000020003"/>
    <w:charset w:val="00"/>
    <w:family w:val="auto"/>
    <w:pitch w:val="default"/>
    <w:sig w:usb0="00000000" w:usb1="00000000" w:usb2="00000000" w:usb3="00000000" w:csb0="0000009B"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Avenir Book">
    <w:altName w:val="Yu Gothic UI"/>
    <w:panose1 w:val="02000503020000020003"/>
    <w:charset w:val="00"/>
    <w:family w:val="auto"/>
    <w:pitch w:val="default"/>
    <w:sig w:usb0="00000000" w:usb1="00000000" w:usb2="00000000" w:usb3="00000000" w:csb0="0000009B" w:csb1="00000000"/>
  </w:font>
  <w:font w:name="Avenir Regular">
    <w:panose1 w:val="020B0503020203020204"/>
    <w:charset w:val="00"/>
    <w:family w:val="auto"/>
    <w:pitch w:val="default"/>
    <w:sig w:usb0="80002027" w:usb1="80000000" w:usb2="00000008" w:usb3="00000000" w:csb0="2000004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1CE5">
    <w:pPr>
      <w:pStyle w:val="6"/>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33265">
    <w:pPr>
      <w:pStyle w:val="4"/>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PTpstroAAADa&#10;AAAADwAAAGRycy9kb3ducmV2LnhtbEWPS6vCMBSE98L9D+FccKeJolJ6jS4EnzufcHeH5tgWm5PS&#10;xNe/N4LgcpiZb5jx9GErcaPGl4419LoKBHHmTMm5hsN+3klA+IBssHJMGp7kYTr5aY0xNe7OW7rt&#10;Qi4ihH2KGooQ6lRKnxVk0XddTRy9s2sshiibXJoG7xFuK9lXaiQtlhwXCqxpVlB22V2thtV+O7gk&#10;2ek43OTLhU02h3+zVlq3f3vqD0SgR/iGP+2V0dCH95V4A+Tk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Omy2ugAAANoA&#10;AAAPAAAAAAAAAAEAIAAAACIAAABkcnMvZG93bnJldi54bWxQSwECFAAUAAAACACHTuJAMy8FnjsA&#10;AAA5AAAAEAAAAAAAAAABACAAAAAJAQAAZHJzL3NoYXBleG1sLnhtbFBLBQYAAAAABgAGAFsBAACz&#10;Aw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384AE9"/>
    <w:multiLevelType w:val="multilevel"/>
    <w:tmpl w:val="7F384AE9"/>
    <w:lvl w:ilvl="0" w:tentative="0">
      <w:start w:val="0"/>
      <w:numFmt w:val="bullet"/>
      <w:lvlText w:val=""/>
      <w:lvlJc w:val="left"/>
      <w:pPr>
        <w:ind w:left="720" w:hanging="360"/>
      </w:pPr>
      <w:rPr>
        <w:rFonts w:hint="default" w:ascii="Symbol" w:hAnsi="Symbol"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02B"/>
    <w:rsid w:val="00004C4E"/>
    <w:rsid w:val="0001225B"/>
    <w:rsid w:val="0002116B"/>
    <w:rsid w:val="0002193D"/>
    <w:rsid w:val="00037EBC"/>
    <w:rsid w:val="00050F7A"/>
    <w:rsid w:val="00054A43"/>
    <w:rsid w:val="00072FD0"/>
    <w:rsid w:val="00080A02"/>
    <w:rsid w:val="000917AE"/>
    <w:rsid w:val="000A110C"/>
    <w:rsid w:val="000D20CC"/>
    <w:rsid w:val="000E7559"/>
    <w:rsid w:val="001036CB"/>
    <w:rsid w:val="001269ED"/>
    <w:rsid w:val="00127014"/>
    <w:rsid w:val="00134C08"/>
    <w:rsid w:val="00151203"/>
    <w:rsid w:val="0015311E"/>
    <w:rsid w:val="00170D0F"/>
    <w:rsid w:val="00171998"/>
    <w:rsid w:val="00194521"/>
    <w:rsid w:val="001957CA"/>
    <w:rsid w:val="001D1C8C"/>
    <w:rsid w:val="001E4778"/>
    <w:rsid w:val="002042C6"/>
    <w:rsid w:val="00207DC3"/>
    <w:rsid w:val="00222D61"/>
    <w:rsid w:val="002664DE"/>
    <w:rsid w:val="002C13B5"/>
    <w:rsid w:val="002C572B"/>
    <w:rsid w:val="002C7180"/>
    <w:rsid w:val="002E1D10"/>
    <w:rsid w:val="002E2F6A"/>
    <w:rsid w:val="002F15B8"/>
    <w:rsid w:val="0032411D"/>
    <w:rsid w:val="0034401A"/>
    <w:rsid w:val="0034491B"/>
    <w:rsid w:val="00353D7C"/>
    <w:rsid w:val="003730B1"/>
    <w:rsid w:val="003749A3"/>
    <w:rsid w:val="00384F79"/>
    <w:rsid w:val="00394A1A"/>
    <w:rsid w:val="003C298E"/>
    <w:rsid w:val="003C3F47"/>
    <w:rsid w:val="003C5447"/>
    <w:rsid w:val="003C7DE3"/>
    <w:rsid w:val="003D4D90"/>
    <w:rsid w:val="003E24DB"/>
    <w:rsid w:val="00404E49"/>
    <w:rsid w:val="00432523"/>
    <w:rsid w:val="00462205"/>
    <w:rsid w:val="00476180"/>
    <w:rsid w:val="004B61D0"/>
    <w:rsid w:val="004C65E4"/>
    <w:rsid w:val="004D71D0"/>
    <w:rsid w:val="004E0D3E"/>
    <w:rsid w:val="004E7B40"/>
    <w:rsid w:val="005145B5"/>
    <w:rsid w:val="00525600"/>
    <w:rsid w:val="00532433"/>
    <w:rsid w:val="0057321B"/>
    <w:rsid w:val="00590A21"/>
    <w:rsid w:val="005B3406"/>
    <w:rsid w:val="005D186B"/>
    <w:rsid w:val="005D502B"/>
    <w:rsid w:val="005E07FD"/>
    <w:rsid w:val="005E18DF"/>
    <w:rsid w:val="005F0EDF"/>
    <w:rsid w:val="0061632B"/>
    <w:rsid w:val="00640F7E"/>
    <w:rsid w:val="00653375"/>
    <w:rsid w:val="006726AA"/>
    <w:rsid w:val="00694972"/>
    <w:rsid w:val="006E70CC"/>
    <w:rsid w:val="007246D6"/>
    <w:rsid w:val="00742DDA"/>
    <w:rsid w:val="00747A8B"/>
    <w:rsid w:val="007511F1"/>
    <w:rsid w:val="00760BE9"/>
    <w:rsid w:val="007632D2"/>
    <w:rsid w:val="00774FBE"/>
    <w:rsid w:val="00784A7B"/>
    <w:rsid w:val="007B0253"/>
    <w:rsid w:val="007B453F"/>
    <w:rsid w:val="007C1C84"/>
    <w:rsid w:val="007F1068"/>
    <w:rsid w:val="00800409"/>
    <w:rsid w:val="008058AB"/>
    <w:rsid w:val="00810A3E"/>
    <w:rsid w:val="00812116"/>
    <w:rsid w:val="008245D3"/>
    <w:rsid w:val="00843D11"/>
    <w:rsid w:val="00853EA8"/>
    <w:rsid w:val="00854F8A"/>
    <w:rsid w:val="00856AB3"/>
    <w:rsid w:val="008B4ECA"/>
    <w:rsid w:val="008C0310"/>
    <w:rsid w:val="008C3C85"/>
    <w:rsid w:val="008C4B70"/>
    <w:rsid w:val="008C7CDF"/>
    <w:rsid w:val="008D5E62"/>
    <w:rsid w:val="008E423C"/>
    <w:rsid w:val="008F7D14"/>
    <w:rsid w:val="00907593"/>
    <w:rsid w:val="00916717"/>
    <w:rsid w:val="00930714"/>
    <w:rsid w:val="00947A65"/>
    <w:rsid w:val="00967E59"/>
    <w:rsid w:val="00970672"/>
    <w:rsid w:val="009709A0"/>
    <w:rsid w:val="00980155"/>
    <w:rsid w:val="00981478"/>
    <w:rsid w:val="00987DA6"/>
    <w:rsid w:val="00994730"/>
    <w:rsid w:val="009A1C98"/>
    <w:rsid w:val="009A3596"/>
    <w:rsid w:val="009A7436"/>
    <w:rsid w:val="009C5962"/>
    <w:rsid w:val="009D5D14"/>
    <w:rsid w:val="009E2140"/>
    <w:rsid w:val="009F5224"/>
    <w:rsid w:val="00A06BC7"/>
    <w:rsid w:val="00A60A16"/>
    <w:rsid w:val="00A94318"/>
    <w:rsid w:val="00AC0BD2"/>
    <w:rsid w:val="00AE0C91"/>
    <w:rsid w:val="00AE3024"/>
    <w:rsid w:val="00B06ED9"/>
    <w:rsid w:val="00B07B70"/>
    <w:rsid w:val="00B20198"/>
    <w:rsid w:val="00B34739"/>
    <w:rsid w:val="00B66468"/>
    <w:rsid w:val="00B73ADB"/>
    <w:rsid w:val="00BA54D3"/>
    <w:rsid w:val="00BD03A6"/>
    <w:rsid w:val="00BF6653"/>
    <w:rsid w:val="00C46968"/>
    <w:rsid w:val="00C47B29"/>
    <w:rsid w:val="00C51902"/>
    <w:rsid w:val="00C53463"/>
    <w:rsid w:val="00C5549A"/>
    <w:rsid w:val="00C56169"/>
    <w:rsid w:val="00C57817"/>
    <w:rsid w:val="00C93C3B"/>
    <w:rsid w:val="00CC4F5C"/>
    <w:rsid w:val="00CC73F7"/>
    <w:rsid w:val="00CD2695"/>
    <w:rsid w:val="00CE302B"/>
    <w:rsid w:val="00D016F7"/>
    <w:rsid w:val="00D2512C"/>
    <w:rsid w:val="00D3076A"/>
    <w:rsid w:val="00D30911"/>
    <w:rsid w:val="00D40EDB"/>
    <w:rsid w:val="00D45B40"/>
    <w:rsid w:val="00D55C61"/>
    <w:rsid w:val="00D562B2"/>
    <w:rsid w:val="00D87AC9"/>
    <w:rsid w:val="00DA3A9D"/>
    <w:rsid w:val="00DC352B"/>
    <w:rsid w:val="00DE04E9"/>
    <w:rsid w:val="00DE208D"/>
    <w:rsid w:val="00DF5A13"/>
    <w:rsid w:val="00E13D1A"/>
    <w:rsid w:val="00E476E7"/>
    <w:rsid w:val="00E53B7E"/>
    <w:rsid w:val="00E54A55"/>
    <w:rsid w:val="00E6657F"/>
    <w:rsid w:val="00E80B17"/>
    <w:rsid w:val="00E84C73"/>
    <w:rsid w:val="00E87679"/>
    <w:rsid w:val="00EA373B"/>
    <w:rsid w:val="00EA6A7C"/>
    <w:rsid w:val="00F17133"/>
    <w:rsid w:val="00F2247A"/>
    <w:rsid w:val="00F3034B"/>
    <w:rsid w:val="00F41E2F"/>
    <w:rsid w:val="00F56EA7"/>
    <w:rsid w:val="00F57262"/>
    <w:rsid w:val="00F75E9B"/>
    <w:rsid w:val="00F76E21"/>
    <w:rsid w:val="00F91DA5"/>
    <w:rsid w:val="00F92BB2"/>
    <w:rsid w:val="00F97E17"/>
    <w:rsid w:val="00FC6D3E"/>
    <w:rsid w:val="00FD4615"/>
    <w:rsid w:val="00FE49FA"/>
    <w:rsid w:val="00FF09B4"/>
    <w:rsid w:val="095D36BC"/>
    <w:rsid w:val="4E850CEF"/>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7"/>
    <w:unhideWhenUsed/>
    <w:qFormat/>
    <w:uiPriority w:val="99"/>
    <w:pPr>
      <w:tabs>
        <w:tab w:val="center" w:pos="4419"/>
        <w:tab w:val="right" w:pos="8838"/>
      </w:tabs>
    </w:pPr>
  </w:style>
  <w:style w:type="paragraph" w:styleId="5">
    <w:name w:val="Normal (Web)"/>
    <w:basedOn w:val="1"/>
    <w:semiHidden/>
    <w:unhideWhenUsed/>
    <w:qFormat/>
    <w:uiPriority w:val="99"/>
    <w:pPr>
      <w:spacing w:before="100" w:beforeAutospacing="1" w:after="100" w:afterAutospacing="1"/>
      <w:jc w:val="left"/>
    </w:pPr>
    <w:rPr>
      <w:rFonts w:ascii="Times New Roman" w:hAnsi="Times New Roman" w:eastAsia="Times New Roman" w:cs="Times New Roman"/>
      <w:lang w:eastAsia="es-MX"/>
    </w:rPr>
  </w:style>
  <w:style w:type="paragraph" w:styleId="6">
    <w:name w:val="footer"/>
    <w:basedOn w:val="1"/>
    <w:link w:val="8"/>
    <w:unhideWhenUsed/>
    <w:qFormat/>
    <w:uiPriority w:val="99"/>
    <w:pPr>
      <w:tabs>
        <w:tab w:val="center" w:pos="4419"/>
        <w:tab w:val="right" w:pos="8838"/>
      </w:tabs>
    </w:pPr>
  </w:style>
  <w:style w:type="character" w:customStyle="1" w:styleId="7">
    <w:name w:val="Encabezado Car"/>
    <w:basedOn w:val="2"/>
    <w:link w:val="4"/>
    <w:qFormat/>
    <w:uiPriority w:val="99"/>
    <w:rPr>
      <w:rFonts w:ascii="Avenir" w:hAnsi="Avenir" w:cs="Arial"/>
      <w:sz w:val="24"/>
      <w:szCs w:val="24"/>
    </w:rPr>
  </w:style>
  <w:style w:type="character" w:customStyle="1" w:styleId="8">
    <w:name w:val="Pie de página Car"/>
    <w:basedOn w:val="2"/>
    <w:link w:val="6"/>
    <w:qFormat/>
    <w:uiPriority w:val="99"/>
    <w:rPr>
      <w:rFonts w:ascii="Avenir" w:hAnsi="Avenir" w:cs="Arial"/>
      <w:sz w:val="24"/>
      <w:szCs w:val="24"/>
    </w:rPr>
  </w:style>
  <w:style w:type="paragraph" w:styleId="9">
    <w:name w:val="List Paragraph"/>
    <w:basedOn w:val="1"/>
    <w:qFormat/>
    <w:uiPriority w:val="34"/>
    <w:pPr>
      <w:spacing w:after="160" w:line="259" w:lineRule="auto"/>
      <w:ind w:left="720"/>
      <w:contextualSpacing/>
    </w:pPr>
    <w:rPr>
      <w:rFonts w:ascii="Calibri" w:hAnsi="Calibri" w:eastAsia="Calibri"/>
      <w:sz w:val="22"/>
      <w:szCs w:val="22"/>
    </w:rPr>
  </w:style>
  <w:style w:type="character" w:customStyle="1" w:styleId="10">
    <w:name w:val="gmail-apple-converted-space"/>
    <w:basedOn w:val="2"/>
    <w:uiPriority w:val="0"/>
  </w:style>
  <w:style w:type="character" w:customStyle="1" w:styleId="11">
    <w:name w:val="gmail_signature_prefix"/>
    <w:basedOn w:val="2"/>
    <w:qFormat/>
    <w:uiPriority w:val="0"/>
  </w:style>
  <w:style w:type="character" w:customStyle="1" w:styleId="12">
    <w:name w:val="apple-converted-space"/>
    <w:basedOn w:val="2"/>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1203</Words>
  <Characters>6661</Characters>
  <Lines>55</Lines>
  <Paragraphs>15</Paragraphs>
  <TotalTime>9</TotalTime>
  <ScaleCrop>false</ScaleCrop>
  <LinksUpToDate>false</LinksUpToDate>
  <CharactersWithSpaces>7841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2026-09-23T21:41:00Z</dcterms:created>
  <dc:creator>Andrés</dc:creator>
  <cp:lastModifiedBy>nefi hernandez</cp:lastModifiedBy>
  <cp:lastPrinted>2024-12-04T21:22:00Z</cp:lastPrinted>
  <dcterms:modified xsi:type="dcterms:W3CDTF">2026-09-24T03:12:21Z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2058-12.1.0.28032</vt:lpwstr>
  </property>
  <property fmtid="{D5CDD505-2E9C-101B-9397-08002B2CF9AE}" pid="3" name="ICV">
    <vt:lpwstr>7743A2951E3F4EAAAAA3E2E68B4A496D_12</vt:lpwstr>
  </property>
  <property fmtid="{D5CDD505-2E9C-101B-9397-08002B2CF9AE}" pid="4" name="KSOTemplateDocerSaveRecord">
    <vt:lpwstr>eyJoZGlkIjoiZjk2Y2YzMjM0OTJlOWQyMzlkNzM2NGFkZTljZDg1YmEiLCJ1c2VySWQiOiIxNTI5NDk2MjAzMDE2In0=</vt:lpwstr>
  </property>
</Properties>
</file>