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BC65B">
      <w:pPr>
        <w:autoSpaceDE w:val="0"/>
        <w:autoSpaceDN w:val="0"/>
        <w:adjustRightInd w:val="0"/>
        <w:jc w:val="right"/>
        <w:rPr>
          <w:rFonts w:ascii="Avenir Book" w:hAnsi="Avenir Book" w:cs="Avenir Book"/>
          <w:color w:val="000000"/>
          <w:lang w:eastAsia="es-MX"/>
        </w:rPr>
      </w:pPr>
      <w:r>
        <w:rPr>
          <w:rFonts w:ascii="Avenir Book" w:hAnsi="Avenir Book" w:cs="Avenir Book"/>
          <w:color w:val="000000"/>
          <w:lang w:eastAsia="es-MX"/>
        </w:rPr>
        <w:t>Querétaro, Qro., 25 de septiembre de 2026</w:t>
      </w:r>
    </w:p>
    <w:p w14:paraId="11E55A57">
      <w:pPr>
        <w:tabs>
          <w:tab w:val="left" w:pos="3586"/>
          <w:tab w:val="center" w:pos="4419"/>
        </w:tabs>
        <w:autoSpaceDE w:val="0"/>
        <w:autoSpaceDN w:val="0"/>
        <w:adjustRightInd w:val="0"/>
        <w:jc w:val="left"/>
        <w:rPr>
          <w:rFonts w:ascii="Avenir Book" w:hAnsi="Avenir Book" w:cs="Avenir Book"/>
          <w:color w:val="000000"/>
          <w:lang w:eastAsia="es-MX"/>
        </w:rPr>
      </w:pPr>
      <w:r>
        <w:rPr>
          <w:rFonts w:ascii="Avenir Book" w:hAnsi="Avenir Book" w:cs="Avenir Book"/>
          <w:color w:val="000000"/>
          <w:lang w:eastAsia="es-MX"/>
        </w:rPr>
        <w:tab/>
      </w:r>
      <w:r>
        <w:rPr>
          <w:rFonts w:ascii="Avenir Book" w:hAnsi="Avenir Book" w:cs="Avenir Book"/>
          <w:color w:val="000000"/>
          <w:lang w:eastAsia="es-MX"/>
        </w:rPr>
        <w:tab/>
      </w:r>
      <w:r>
        <w:rPr>
          <w:rFonts w:ascii="Avenir Book" w:hAnsi="Avenir Book" w:cs="Avenir Book"/>
          <w:color w:val="000000"/>
          <w:lang w:eastAsia="es-MX"/>
        </w:rPr>
        <w:t> </w:t>
      </w:r>
    </w:p>
    <w:p w14:paraId="26C787CF">
      <w:pPr>
        <w:autoSpaceDE w:val="0"/>
        <w:autoSpaceDN w:val="0"/>
        <w:adjustRightInd w:val="0"/>
        <w:jc w:val="center"/>
        <w:rPr>
          <w:rFonts w:ascii="Avenir Book" w:hAnsi="Avenir Book" w:cs="Avenir Book"/>
          <w:b/>
          <w:bCs/>
          <w:color w:val="000000"/>
          <w:lang w:eastAsia="es-MX"/>
        </w:rPr>
      </w:pPr>
      <w:r>
        <w:rPr>
          <w:rFonts w:ascii="Avenir Book" w:hAnsi="Avenir Book" w:cs="Avenir Book"/>
          <w:b/>
          <w:bCs/>
          <w:color w:val="000000"/>
          <w:lang w:eastAsia="es-MX"/>
        </w:rPr>
        <w:t>BOLETÍN 119/26</w:t>
      </w:r>
    </w:p>
    <w:p w14:paraId="4FB1DF9F">
      <w:pPr>
        <w:autoSpaceDE w:val="0"/>
        <w:autoSpaceDN w:val="0"/>
        <w:adjustRightInd w:val="0"/>
        <w:rPr>
          <w:rFonts w:ascii="Avenir Book" w:hAnsi="Avenir Book" w:cs="Avenir Book"/>
          <w:b/>
          <w:bCs/>
          <w:color w:val="000000"/>
          <w:sz w:val="26"/>
          <w:szCs w:val="26"/>
          <w:lang w:eastAsia="es-MX"/>
        </w:rPr>
      </w:pPr>
      <w:r>
        <w:rPr>
          <w:rFonts w:ascii="Avenir Book" w:hAnsi="Avenir Book" w:cs="Avenir Book"/>
          <w:b/>
          <w:bCs/>
          <w:color w:val="000000"/>
          <w:sz w:val="26"/>
          <w:szCs w:val="26"/>
          <w:lang w:eastAsia="es-MX"/>
        </w:rPr>
        <w:t> </w:t>
      </w:r>
    </w:p>
    <w:p w14:paraId="29937108">
      <w:pPr>
        <w:autoSpaceDE w:val="0"/>
        <w:autoSpaceDN w:val="0"/>
        <w:adjustRightInd w:val="0"/>
        <w:jc w:val="center"/>
        <w:rPr>
          <w:rFonts w:ascii="Avenir Book" w:hAnsi="Avenir Book" w:cs="AppleSystemUIFont"/>
          <w:b/>
          <w:bCs/>
          <w:sz w:val="26"/>
          <w:szCs w:val="26"/>
          <w:lang w:eastAsia="es-MX"/>
        </w:rPr>
      </w:pPr>
      <w:r>
        <w:rPr>
          <w:rFonts w:ascii="Avenir Book" w:hAnsi="Avenir Book" w:cs="AppleSystemUIFont"/>
          <w:b/>
          <w:bCs/>
          <w:sz w:val="26"/>
          <w:szCs w:val="26"/>
          <w:lang w:eastAsia="es-MX"/>
        </w:rPr>
        <w:t>Presenta SEDESOQ resultados de la política social de Querétaro</w:t>
      </w:r>
    </w:p>
    <w:p w14:paraId="03389F9E">
      <w:pPr>
        <w:autoSpaceDE w:val="0"/>
        <w:autoSpaceDN w:val="0"/>
        <w:adjustRightInd w:val="0"/>
        <w:rPr>
          <w:rFonts w:ascii="Avenir Book" w:hAnsi="Avenir Book" w:cs="AppleSystemUIFont"/>
          <w:lang w:eastAsia="es-MX"/>
        </w:rPr>
      </w:pPr>
    </w:p>
    <w:p w14:paraId="06181782">
      <w:pPr>
        <w:pStyle w:val="12"/>
        <w:numPr>
          <w:ilvl w:val="0"/>
          <w:numId w:val="1"/>
        </w:numPr>
        <w:autoSpaceDE w:val="0"/>
        <w:autoSpaceDN w:val="0"/>
        <w:adjustRightInd w:val="0"/>
        <w:rPr>
          <w:rFonts w:ascii="Avenir Book" w:hAnsi="Avenir Book" w:cs="AppleSystemUIFont"/>
          <w:lang w:eastAsia="es-MX"/>
        </w:rPr>
      </w:pPr>
      <w:r>
        <w:rPr>
          <w:rFonts w:ascii="Avenir Book" w:hAnsi="Avenir Book" w:cs="AppleSystemUIFont"/>
          <w:lang w:eastAsia="es-MX"/>
        </w:rPr>
        <w:t>Destacó programas como Transporte Escolar, Contigo y tu bebé, Club del Adulto Mayor, Entorno Social, entre otros.</w:t>
      </w:r>
    </w:p>
    <w:p w14:paraId="5D7EC808">
      <w:pPr>
        <w:pStyle w:val="12"/>
        <w:numPr>
          <w:ilvl w:val="0"/>
          <w:numId w:val="1"/>
        </w:num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Aquí nos une lo más importante, el compromiso de trabajar por Querétaro y por las familias queretanas: Ernesto Mejía. </w:t>
      </w:r>
    </w:p>
    <w:p w14:paraId="63CCD1F7">
      <w:pPr>
        <w:autoSpaceDE w:val="0"/>
        <w:autoSpaceDN w:val="0"/>
        <w:adjustRightInd w:val="0"/>
        <w:rPr>
          <w:rFonts w:ascii="Avenir Book" w:hAnsi="Avenir Book" w:cs="AppleSystemUIFont"/>
          <w:lang w:eastAsia="es-MX"/>
        </w:rPr>
      </w:pPr>
      <w:r>
        <w:rPr>
          <w:rFonts w:ascii="Avenir Book" w:hAnsi="Avenir Book" w:cs="AppleSystemUIFont"/>
          <w:lang w:eastAsia="es-MX"/>
        </w:rPr>
        <w:t>Durante el ejercicio de la Glosa del V Informe de Gobierno ante la Sexagésima Primera Legislatura del Estado, el secretario de Desarrollo Social del Estado de Querétaro, Ernesto Mejía Botello, presentó los resultados de las acciones implementadas para atender a las familias queretanas y generar mejores condiciones para su desarrollo.</w:t>
      </w:r>
    </w:p>
    <w:p w14:paraId="439FE29F">
      <w:pPr>
        <w:autoSpaceDE w:val="0"/>
        <w:autoSpaceDN w:val="0"/>
        <w:adjustRightInd w:val="0"/>
        <w:rPr>
          <w:rFonts w:ascii="Avenir Book" w:hAnsi="Avenir Book" w:cs="AppleSystemUIFont"/>
          <w:lang w:eastAsia="es-MX"/>
        </w:rPr>
      </w:pPr>
    </w:p>
    <w:p w14:paraId="67C5CB32">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“En Querétaro sabemos que los resultados se contruyen sumando esfuerzos, reconocemos la coordinación con los municipios y desde luego con esta Legislatura, toda vez que con ustedes nace el presupuesto que nos permite dar atención a la población. Aquí nos une lo más importante, el compromiso de trabajar por Querétaro y por las familias queretanas”, resaltó. </w:t>
      </w:r>
    </w:p>
    <w:p w14:paraId="2A112A69">
      <w:pPr>
        <w:autoSpaceDE w:val="0"/>
        <w:autoSpaceDN w:val="0"/>
        <w:adjustRightInd w:val="0"/>
        <w:rPr>
          <w:rFonts w:ascii="Avenir Book" w:hAnsi="Avenir Book" w:cs="AppleSystemUIFont"/>
          <w:lang w:eastAsia="es-MX"/>
        </w:rPr>
      </w:pPr>
    </w:p>
    <w:p w14:paraId="6F94D18A">
      <w:pPr>
        <w:autoSpaceDE w:val="0"/>
        <w:autoSpaceDN w:val="0"/>
        <w:adjustRightInd w:val="0"/>
        <w:rPr>
          <w:rFonts w:ascii="Avenir Book" w:hAnsi="Avenir Book" w:cs="AppleSystemUIFont"/>
          <w:lang w:eastAsia="es-MX"/>
        </w:rPr>
      </w:pPr>
      <w:r>
        <w:rPr>
          <w:rFonts w:ascii="Avenir Book" w:hAnsi="Avenir Book" w:cs="AppleSystemUIFont"/>
          <w:lang w:eastAsia="es-MX"/>
        </w:rPr>
        <w:t>De acuerdo con los resultados expuestos, en sólo dos años la pobreza en Querétaro disminuyó 23 por ciento, lo cual significa que 123 mil queretanas y queretanos dejaron atrás esta condición; mientras que materia de pobreza extrema, la reducción fue de 34 por ciento, lo que representa 15 mil personas que dejaron de vivir en esta situación.</w:t>
      </w:r>
    </w:p>
    <w:p w14:paraId="3B377B57">
      <w:pPr>
        <w:autoSpaceDE w:val="0"/>
        <w:autoSpaceDN w:val="0"/>
        <w:adjustRightInd w:val="0"/>
        <w:rPr>
          <w:rFonts w:ascii="Avenir Book" w:hAnsi="Avenir Book" w:cs="AppleSystemUIFont"/>
          <w:lang w:eastAsia="es-MX"/>
        </w:rPr>
      </w:pPr>
    </w:p>
    <w:p w14:paraId="5A839B23">
      <w:pPr>
        <w:autoSpaceDE w:val="0"/>
        <w:autoSpaceDN w:val="0"/>
        <w:adjustRightInd w:val="0"/>
        <w:rPr>
          <w:rFonts w:ascii="Avenir Book" w:hAnsi="Avenir Book" w:cs="AppleSystemUIFont"/>
          <w:lang w:eastAsia="es-MX"/>
        </w:rPr>
      </w:pPr>
      <w:r>
        <w:rPr>
          <w:rFonts w:ascii="Avenir Book" w:hAnsi="Avenir Book" w:cs="AppleSystemUIFont"/>
          <w:lang w:eastAsia="es-MX"/>
        </w:rPr>
        <w:t>El Secretario destacó que Querétaro se encuentra por debajo del promedio nacional en las seis carencias que integran la medición de pobreza multidimensional: rezago educativo, acceso a los servicios de salud, seguridad social, calidad y espacios de la vivienda, servicios básicos en la vivienda y acceso a alimentación nutritiva y de calidad.</w:t>
      </w:r>
    </w:p>
    <w:p w14:paraId="05E36217">
      <w:pPr>
        <w:autoSpaceDE w:val="0"/>
        <w:autoSpaceDN w:val="0"/>
        <w:adjustRightInd w:val="0"/>
        <w:rPr>
          <w:rFonts w:ascii="Avenir Book" w:hAnsi="Avenir Book" w:cs="AppleSystemUIFont"/>
          <w:lang w:eastAsia="es-MX"/>
        </w:rPr>
      </w:pPr>
    </w:p>
    <w:p w14:paraId="7F36ADB2">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Como parte de las acciones para atender a las familias desde distintas etapas de la vida, mediante el programa Contigo y Tu Bebé se entregaron 34 mil 539 canastas alimentarias materno-infantiles, en beneficio de </w:t>
      </w:r>
      <w:r>
        <w:rPr>
          <w:rFonts w:hint="default" w:ascii="Avenir Book" w:hAnsi="Avenir Book" w:cs="AppleSystemUIFont"/>
          <w:lang w:val="en-US" w:eastAsia="es-MX"/>
        </w:rPr>
        <w:t>cinco</w:t>
      </w:r>
      <w:r>
        <w:rPr>
          <w:rFonts w:ascii="Avenir Book" w:hAnsi="Avenir Book" w:cs="AppleSystemUIFont"/>
          <w:lang w:eastAsia="es-MX"/>
        </w:rPr>
        <w:t xml:space="preserve"> mil 592 familias. Además, durante este año se realizaron siete jornadas de acompañamiento integral con servicios de pediatría, neurodesarrollo, estimulación temprana y atención a la salud mental materna.</w:t>
      </w:r>
    </w:p>
    <w:p w14:paraId="6FB27F58">
      <w:pPr>
        <w:autoSpaceDE w:val="0"/>
        <w:autoSpaceDN w:val="0"/>
        <w:adjustRightInd w:val="0"/>
        <w:rPr>
          <w:rFonts w:ascii="Avenir Book" w:hAnsi="Avenir Book" w:cs="AppleSystemUIFont"/>
          <w:lang w:eastAsia="es-MX"/>
        </w:rPr>
      </w:pPr>
    </w:p>
    <w:p w14:paraId="2DCC5293">
      <w:pPr>
        <w:autoSpaceDE w:val="0"/>
        <w:autoSpaceDN w:val="0"/>
        <w:adjustRightInd w:val="0"/>
        <w:rPr>
          <w:rFonts w:ascii="Avenir Book" w:hAnsi="Avenir Book" w:cs="AppleSystemUIFont"/>
          <w:lang w:eastAsia="es-MX"/>
        </w:rPr>
      </w:pPr>
      <w:r>
        <w:rPr>
          <w:rFonts w:ascii="Avenir Book" w:hAnsi="Avenir Book" w:cs="AppleSystemUIFont"/>
          <w:lang w:eastAsia="es-MX"/>
        </w:rPr>
        <w:t>En materia alimentaria, a través de Contigo en Tu Mesa se entregaron 166 mil 773 canastas, beneficiando a 30 mil 450 personas adultas mayores y personas en situación de vulnerabilidad. Cada canasta está integrada por 21 productos e incorpora huevo y pollo como aporte proteico; su distribución se realiza de manera bimestral en 720 puntos cercanos a los hogares.</w:t>
      </w:r>
    </w:p>
    <w:p w14:paraId="128891C5">
      <w:pPr>
        <w:autoSpaceDE w:val="0"/>
        <w:autoSpaceDN w:val="0"/>
        <w:adjustRightInd w:val="0"/>
        <w:rPr>
          <w:rFonts w:ascii="Avenir Book" w:hAnsi="Avenir Book" w:cs="AppleSystemUIFont"/>
          <w:lang w:eastAsia="es-MX"/>
        </w:rPr>
      </w:pPr>
    </w:p>
    <w:p w14:paraId="1C4CE72B">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Para las personas adultas mayores, actualmente operan 50 Clubes del Adulto Mayor, que benefician a </w:t>
      </w:r>
      <w:r>
        <w:rPr>
          <w:rFonts w:hint="default" w:ascii="Avenir Book" w:hAnsi="Avenir Book" w:cs="AppleSystemUIFont"/>
          <w:lang w:val="en-US" w:eastAsia="es-MX"/>
        </w:rPr>
        <w:t>cinco</w:t>
      </w:r>
      <w:r>
        <w:rPr>
          <w:rFonts w:ascii="Avenir Book" w:hAnsi="Avenir Book" w:cs="AppleSystemUIFont"/>
          <w:lang w:eastAsia="es-MX"/>
        </w:rPr>
        <w:t xml:space="preserve"> mil 78 personas; en estos espacios se realizan actividades recreativas, talleres y convivencia, además de brindar alimentos preparados y atención integral en psicología, nutrición y medicina.</w:t>
      </w:r>
    </w:p>
    <w:p w14:paraId="4D4D23BA">
      <w:pPr>
        <w:autoSpaceDE w:val="0"/>
        <w:autoSpaceDN w:val="0"/>
        <w:adjustRightInd w:val="0"/>
        <w:rPr>
          <w:rFonts w:ascii="Avenir Book" w:hAnsi="Avenir Book" w:cs="AppleSystemUIFont"/>
          <w:lang w:eastAsia="es-MX"/>
        </w:rPr>
      </w:pPr>
    </w:p>
    <w:p w14:paraId="23607EDF">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A través del programa de Coinversión Social, se beneficiaron </w:t>
      </w:r>
      <w:r>
        <w:rPr>
          <w:rFonts w:hint="default" w:ascii="Avenir Book" w:hAnsi="Avenir Book" w:cs="AppleSystemUIFont"/>
          <w:lang w:val="en-US" w:eastAsia="es-MX"/>
        </w:rPr>
        <w:t>ocho</w:t>
      </w:r>
      <w:r>
        <w:rPr>
          <w:rFonts w:ascii="Avenir Book" w:hAnsi="Avenir Book" w:cs="AppleSystemUIFont"/>
          <w:lang w:eastAsia="es-MX"/>
        </w:rPr>
        <w:t xml:space="preserve"> mil 442 familias con enseres y equipamiento para el hogar, principalmente lavadoras, estufas, calentadores solares y tinacos, mediante la participación de ciudadanía y organizaciones de la sociedad civil.</w:t>
      </w:r>
    </w:p>
    <w:p w14:paraId="47F004DB">
      <w:pPr>
        <w:autoSpaceDE w:val="0"/>
        <w:autoSpaceDN w:val="0"/>
        <w:adjustRightInd w:val="0"/>
        <w:rPr>
          <w:rFonts w:ascii="Avenir Book" w:hAnsi="Avenir Book" w:cs="AppleSystemUIFont"/>
          <w:lang w:eastAsia="es-MX"/>
        </w:rPr>
      </w:pPr>
    </w:p>
    <w:p w14:paraId="5DF72936">
      <w:pPr>
        <w:autoSpaceDE w:val="0"/>
        <w:autoSpaceDN w:val="0"/>
        <w:adjustRightInd w:val="0"/>
        <w:rPr>
          <w:rFonts w:ascii="Avenir Book" w:hAnsi="Avenir Book" w:cs="AppleSystemUIFont"/>
          <w:lang w:eastAsia="es-MX"/>
        </w:rPr>
      </w:pPr>
      <w:r>
        <w:rPr>
          <w:rFonts w:ascii="Avenir Book" w:hAnsi="Avenir Book" w:cs="AppleSystemUIFont"/>
          <w:lang w:eastAsia="es-MX"/>
        </w:rPr>
        <w:t>En materia educativa, 10 mil 872 estudiantes de educación básica, media superior y superior cuentan con Transporte Escolar gratuito; por ello diariamente se recorren 18 mil 929 kilómetros para acercar a niñas, niños y jóvenes a sus centros educativos y evitar que la distancia se convierta en una barrera para continuar sus estudios.</w:t>
      </w:r>
    </w:p>
    <w:p w14:paraId="6DF4ECC8">
      <w:pPr>
        <w:autoSpaceDE w:val="0"/>
        <w:autoSpaceDN w:val="0"/>
        <w:adjustRightInd w:val="0"/>
        <w:rPr>
          <w:rFonts w:ascii="Avenir Book" w:hAnsi="Avenir Book" w:cs="AppleSystemUIFont"/>
          <w:lang w:eastAsia="es-MX"/>
        </w:rPr>
      </w:pPr>
    </w:p>
    <w:p w14:paraId="58C5304F">
      <w:pPr>
        <w:autoSpaceDE w:val="0"/>
        <w:autoSpaceDN w:val="0"/>
        <w:adjustRightInd w:val="0"/>
        <w:rPr>
          <w:rFonts w:ascii="Avenir Book" w:hAnsi="Avenir Book" w:cs="AppleSystemUIFont"/>
          <w:lang w:eastAsia="es-MX"/>
        </w:rPr>
      </w:pPr>
      <w:r>
        <w:rPr>
          <w:rFonts w:hint="default" w:ascii="Avenir Book" w:hAnsi="Avenir Book" w:cs="AppleSystemUIFont"/>
          <w:lang w:val="en-US" w:eastAsia="es-MX"/>
        </w:rPr>
        <w:t>Relativo a</w:t>
      </w:r>
      <w:r>
        <w:rPr>
          <w:rFonts w:ascii="Avenir Book" w:hAnsi="Avenir Book" w:cs="AppleSystemUIFont"/>
          <w:lang w:eastAsia="es-MX"/>
        </w:rPr>
        <w:t xml:space="preserve"> vivienda, se construyeron 250 cuartos adicionales para familias que vivían en condiciones de hacinamiento o en espacios que podían afectar su salud y calidad de vida.</w:t>
      </w:r>
      <w:r>
        <w:rPr>
          <w:rFonts w:hint="default" w:ascii="Avenir Book" w:hAnsi="Avenir Book" w:cs="AppleSystemUIFont"/>
          <w:lang w:val="en-US" w:eastAsia="es-MX"/>
        </w:rPr>
        <w:t xml:space="preserve"> </w:t>
      </w:r>
      <w:r>
        <w:rPr>
          <w:rFonts w:ascii="Avenir Book" w:hAnsi="Avenir Book" w:cs="AppleSystemUIFont"/>
          <w:lang w:eastAsia="es-MX"/>
        </w:rPr>
        <w:t>Asimismo, se realizaron 118 acciones de infraestructura social que beneficiaron a 112 mil 776 personas con obras de  acciones electrificación, agua potable, drenaje, urbanización, infraestructura educativa, caminos y obras integrales.</w:t>
      </w:r>
    </w:p>
    <w:p w14:paraId="1FDB2B2E">
      <w:pPr>
        <w:autoSpaceDE w:val="0"/>
        <w:autoSpaceDN w:val="0"/>
        <w:adjustRightInd w:val="0"/>
        <w:rPr>
          <w:rFonts w:ascii="Avenir Book" w:hAnsi="Avenir Book" w:cs="AppleSystemUIFont"/>
          <w:lang w:eastAsia="es-MX"/>
        </w:rPr>
      </w:pPr>
    </w:p>
    <w:p w14:paraId="36144D71">
      <w:pPr>
        <w:autoSpaceDE w:val="0"/>
        <w:autoSpaceDN w:val="0"/>
        <w:adjustRightInd w:val="0"/>
        <w:rPr>
          <w:rFonts w:ascii="Avenir Book" w:hAnsi="Avenir Book" w:cs="AppleSystemUIFont"/>
          <w:lang w:eastAsia="es-MX"/>
        </w:rPr>
      </w:pPr>
      <w:r>
        <w:rPr>
          <w:rFonts w:ascii="Avenir Book" w:hAnsi="Avenir Book" w:cs="AppleSystemUIFont"/>
          <w:lang w:eastAsia="es-MX"/>
        </w:rPr>
        <w:t>Con las Jornadas Aquí Contigo, la atención gubernamental se acercó directamente a las comunidades y durante 20 jornadas se beneficiaron 17 mil 662 personas y se facilitaron 22 mil 355 trámites y servicios, además de generar espacios de atención directa con funcionarios.</w:t>
      </w:r>
    </w:p>
    <w:p w14:paraId="43EBB7B3">
      <w:pPr>
        <w:autoSpaceDE w:val="0"/>
        <w:autoSpaceDN w:val="0"/>
        <w:adjustRightInd w:val="0"/>
        <w:rPr>
          <w:rFonts w:ascii="Avenir Book" w:hAnsi="Avenir Book" w:cs="AppleSystemUIFont"/>
          <w:lang w:eastAsia="es-MX"/>
        </w:rPr>
      </w:pPr>
    </w:p>
    <w:p w14:paraId="17A3897B">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En materia de entorno social, fueron recuperados siete espacios deportivos en distintas colonias, en beneficio de 40 mil 600 familias, y se entregaron más de </w:t>
      </w:r>
      <w:r>
        <w:rPr>
          <w:rFonts w:hint="default" w:ascii="Avenir Book" w:hAnsi="Avenir Book" w:cs="AppleSystemUIFont"/>
          <w:lang w:val="en-US" w:eastAsia="es-MX"/>
        </w:rPr>
        <w:t>seis</w:t>
      </w:r>
      <w:r>
        <w:rPr>
          <w:rFonts w:ascii="Avenir Book" w:hAnsi="Avenir Book" w:cs="AppleSystemUIFont"/>
          <w:lang w:eastAsia="es-MX"/>
        </w:rPr>
        <w:t xml:space="preserve"> mil 277 materiales deportivos para impulsar la actividad física y la convivencia comunitaria.</w:t>
      </w:r>
      <w:r>
        <w:rPr>
          <w:rFonts w:hint="default" w:ascii="Avenir Book" w:hAnsi="Avenir Book" w:cs="AppleSystemUIFont"/>
          <w:lang w:val="en-US" w:eastAsia="es-MX"/>
        </w:rPr>
        <w:t xml:space="preserve"> </w:t>
      </w:r>
      <w:r>
        <w:rPr>
          <w:rFonts w:ascii="Avenir Book" w:hAnsi="Avenir Book" w:cs="AppleSystemUIFont"/>
          <w:lang w:eastAsia="es-MX"/>
        </w:rPr>
        <w:t xml:space="preserve">Finalmente, en colaboración con la USEBEQ, se otorgó un apoyo económico único a </w:t>
      </w:r>
      <w:r>
        <w:rPr>
          <w:rFonts w:hint="default" w:ascii="Avenir Book" w:hAnsi="Avenir Book" w:cs="AppleSystemUIFont"/>
          <w:lang w:val="en-US" w:eastAsia="es-MX"/>
        </w:rPr>
        <w:t>cinco</w:t>
      </w:r>
      <w:bookmarkStart w:id="0" w:name="_GoBack"/>
      <w:bookmarkEnd w:id="0"/>
      <w:r>
        <w:rPr>
          <w:rFonts w:ascii="Avenir Book" w:hAnsi="Avenir Book" w:cs="AppleSystemUIFont"/>
          <w:lang w:eastAsia="es-MX"/>
        </w:rPr>
        <w:t xml:space="preserve"> mil 20 pensionados y jubilados del sector educativo, como reconocimiento a quienes dedicaron años a la formación de generaciones.</w:t>
      </w:r>
    </w:p>
    <w:p w14:paraId="77DDEBA7">
      <w:pPr>
        <w:autoSpaceDE w:val="0"/>
        <w:autoSpaceDN w:val="0"/>
        <w:adjustRightInd w:val="0"/>
        <w:rPr>
          <w:rFonts w:ascii="Avenir Book" w:hAnsi="Avenir Book" w:cs="AppleSystemUIFont"/>
          <w:lang w:eastAsia="es-MX"/>
        </w:rPr>
      </w:pPr>
    </w:p>
    <w:p w14:paraId="4ADB4698">
      <w:pPr>
        <w:autoSpaceDE w:val="0"/>
        <w:autoSpaceDN w:val="0"/>
        <w:adjustRightInd w:val="0"/>
        <w:rPr>
          <w:rFonts w:ascii="Avenir Book" w:hAnsi="Avenir Book" w:cs="AppleSystemUIFont"/>
          <w:lang w:eastAsia="es-MX"/>
        </w:rPr>
      </w:pPr>
      <w:r>
        <w:rPr>
          <w:rFonts w:ascii="Avenir Book" w:hAnsi="Avenir Book" w:cs="AppleSystemUIFont"/>
          <w:lang w:eastAsia="es-MX"/>
        </w:rPr>
        <w:t>Durante su participación, Mejia Botello destacó que detrás de cada cifra existe una historia y detrás de cada historia una familia, por lo que refrendó el llamado a mantener la coordinación entre los distintos órdenes de gobierno y la sociedad para continuar generando resultados para que las familias de Querétaro vivan mejor.</w:t>
      </w:r>
    </w:p>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Avenir">
    <w:altName w:val="Calibri"/>
    <w:panose1 w:val="02000503020000020003"/>
    <w:charset w:val="4D"/>
    <w:family w:val="swiss"/>
    <w:pitch w:val="default"/>
    <w:sig w:usb0="00000000" w:usb1="00000000" w:usb2="00000000" w:usb3="00000000" w:csb0="0000009B" w:csb1="00000000"/>
  </w:font>
  <w:font w:name="Calibri Light">
    <w:panose1 w:val="020F0302020204030204"/>
    <w:charset w:val="00"/>
    <w:family w:val="swiss"/>
    <w:pitch w:val="default"/>
    <w:sig w:usb0="E4002EFF" w:usb1="C200247B" w:usb2="00000009" w:usb3="00000000" w:csb0="200001FF" w:csb1="00000000"/>
  </w:font>
  <w:font w:name="Avenir Book">
    <w:altName w:val="Yu Gothic UI"/>
    <w:panose1 w:val="02000503020000020003"/>
    <w:charset w:val="00"/>
    <w:family w:val="auto"/>
    <w:pitch w:val="default"/>
    <w:sig w:usb0="00000000" w:usb1="00000000" w:usb2="00000000" w:usb3="00000000" w:csb0="0000009B" w:csb1="00000000"/>
  </w:font>
  <w:font w:name="AppleSystemUIFont">
    <w:altName w:val="Calibri"/>
    <w:panose1 w:val="020B0604020202020204"/>
    <w:charset w:val="00"/>
    <w:family w:val="auto"/>
    <w:pitch w:val="default"/>
    <w:sig w:usb0="00000000" w:usb1="00000000" w:usb2="00000000" w:usb3="00000000" w:csb0="00000001" w:csb1="00000000"/>
  </w:font>
  <w:font w:name="Symbol">
    <w:panose1 w:val="05050102010706020507"/>
    <w:charset w:val="02"/>
    <w:family w:val="decorative"/>
    <w:pitch w:val="default"/>
    <w:sig w:usb0="00000000" w:usb1="00000000" w:usb2="00000000" w:usb3="00000000" w:csb0="80000000" w:csb1="00000000"/>
  </w:font>
  <w:font w:name="Wingdings">
    <w:panose1 w:val="05000000000000000000"/>
    <w:charset w:val="4D"/>
    <w:family w:val="decorative"/>
    <w:pitch w:val="default"/>
    <w:sig w:usb0="00000000" w:usb1="00000000" w:usb2="00000000" w:usb3="00000000" w:csb0="80000000" w:csb1="00000000"/>
  </w:font>
  <w:font w:name="Calibri">
    <w:panose1 w:val="020F0502020204030204"/>
    <w:charset w:val="00"/>
    <w:family w:val="auto"/>
    <w:pitch w:val="default"/>
    <w:sig w:usb0="E4002EFF" w:usb1="C200247B" w:usb2="00000009" w:usb3="00000000" w:csb0="200001F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C78E8">
    <w:pPr>
      <w:pStyle w:val="9"/>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52202" name="Imagen 586152202"/>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A061C">
    <w:pPr>
      <w:pStyle w:val="7"/>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18163A"/>
    <w:multiLevelType w:val="multilevel"/>
    <w:tmpl w:val="7418163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6157"/>
    <w:rsid w:val="00060334"/>
    <w:rsid w:val="000627AF"/>
    <w:rsid w:val="00071D43"/>
    <w:rsid w:val="000A37E9"/>
    <w:rsid w:val="000B1059"/>
    <w:rsid w:val="000C6CB6"/>
    <w:rsid w:val="000E22E9"/>
    <w:rsid w:val="000E3742"/>
    <w:rsid w:val="000E3E02"/>
    <w:rsid w:val="00103375"/>
    <w:rsid w:val="00105A16"/>
    <w:rsid w:val="00112385"/>
    <w:rsid w:val="00154599"/>
    <w:rsid w:val="001743D3"/>
    <w:rsid w:val="00175AF7"/>
    <w:rsid w:val="001843C1"/>
    <w:rsid w:val="00194B2B"/>
    <w:rsid w:val="001A4E8E"/>
    <w:rsid w:val="001B2B42"/>
    <w:rsid w:val="001C13C5"/>
    <w:rsid w:val="00201F15"/>
    <w:rsid w:val="00202A5F"/>
    <w:rsid w:val="00204B4E"/>
    <w:rsid w:val="0021570E"/>
    <w:rsid w:val="0022793E"/>
    <w:rsid w:val="002355C8"/>
    <w:rsid w:val="00240463"/>
    <w:rsid w:val="00242BFD"/>
    <w:rsid w:val="00262D7A"/>
    <w:rsid w:val="00276EC5"/>
    <w:rsid w:val="00280428"/>
    <w:rsid w:val="00282B76"/>
    <w:rsid w:val="002A6BE6"/>
    <w:rsid w:val="002E640D"/>
    <w:rsid w:val="00300B2E"/>
    <w:rsid w:val="00307886"/>
    <w:rsid w:val="00311797"/>
    <w:rsid w:val="00334C32"/>
    <w:rsid w:val="00337531"/>
    <w:rsid w:val="003526D2"/>
    <w:rsid w:val="00354CD0"/>
    <w:rsid w:val="0035700A"/>
    <w:rsid w:val="00363057"/>
    <w:rsid w:val="003636A2"/>
    <w:rsid w:val="003704EA"/>
    <w:rsid w:val="00380939"/>
    <w:rsid w:val="00393143"/>
    <w:rsid w:val="003A31B6"/>
    <w:rsid w:val="003A42B5"/>
    <w:rsid w:val="003A6782"/>
    <w:rsid w:val="003B4033"/>
    <w:rsid w:val="003C2FB9"/>
    <w:rsid w:val="003F599B"/>
    <w:rsid w:val="004053B1"/>
    <w:rsid w:val="00406E89"/>
    <w:rsid w:val="0041026A"/>
    <w:rsid w:val="00425398"/>
    <w:rsid w:val="0043480E"/>
    <w:rsid w:val="004570BA"/>
    <w:rsid w:val="00477A9D"/>
    <w:rsid w:val="00491A68"/>
    <w:rsid w:val="004D2598"/>
    <w:rsid w:val="004E0E95"/>
    <w:rsid w:val="004E77A5"/>
    <w:rsid w:val="00510E2B"/>
    <w:rsid w:val="00515D87"/>
    <w:rsid w:val="00533C48"/>
    <w:rsid w:val="00553832"/>
    <w:rsid w:val="00583CA8"/>
    <w:rsid w:val="00584B17"/>
    <w:rsid w:val="005C1C68"/>
    <w:rsid w:val="005C5234"/>
    <w:rsid w:val="005C659C"/>
    <w:rsid w:val="005C7345"/>
    <w:rsid w:val="005E3C9D"/>
    <w:rsid w:val="00600C80"/>
    <w:rsid w:val="00604814"/>
    <w:rsid w:val="006149E2"/>
    <w:rsid w:val="006322D1"/>
    <w:rsid w:val="006E07EA"/>
    <w:rsid w:val="006F56B6"/>
    <w:rsid w:val="00716B90"/>
    <w:rsid w:val="00737644"/>
    <w:rsid w:val="00743F4E"/>
    <w:rsid w:val="007620AA"/>
    <w:rsid w:val="00797CE2"/>
    <w:rsid w:val="007A0C43"/>
    <w:rsid w:val="007E0AB2"/>
    <w:rsid w:val="007F3F1F"/>
    <w:rsid w:val="007F6802"/>
    <w:rsid w:val="00801606"/>
    <w:rsid w:val="00801BB3"/>
    <w:rsid w:val="00820198"/>
    <w:rsid w:val="00837ADB"/>
    <w:rsid w:val="00845F0A"/>
    <w:rsid w:val="0085438C"/>
    <w:rsid w:val="00883042"/>
    <w:rsid w:val="008C7D71"/>
    <w:rsid w:val="008E497A"/>
    <w:rsid w:val="009123B2"/>
    <w:rsid w:val="009160BA"/>
    <w:rsid w:val="00925AF0"/>
    <w:rsid w:val="0093145A"/>
    <w:rsid w:val="00934E6C"/>
    <w:rsid w:val="00937C14"/>
    <w:rsid w:val="00944BCE"/>
    <w:rsid w:val="009502B4"/>
    <w:rsid w:val="00950DF0"/>
    <w:rsid w:val="00957617"/>
    <w:rsid w:val="00970C18"/>
    <w:rsid w:val="009777C5"/>
    <w:rsid w:val="00981203"/>
    <w:rsid w:val="009831A4"/>
    <w:rsid w:val="0099227C"/>
    <w:rsid w:val="009A0721"/>
    <w:rsid w:val="009B7B1F"/>
    <w:rsid w:val="009C22D3"/>
    <w:rsid w:val="009E481E"/>
    <w:rsid w:val="009E6EDE"/>
    <w:rsid w:val="00A03E5F"/>
    <w:rsid w:val="00A255E2"/>
    <w:rsid w:val="00A323A5"/>
    <w:rsid w:val="00A51220"/>
    <w:rsid w:val="00AA16FC"/>
    <w:rsid w:val="00AE0D37"/>
    <w:rsid w:val="00AE3D5F"/>
    <w:rsid w:val="00AF1049"/>
    <w:rsid w:val="00AF35BE"/>
    <w:rsid w:val="00AF4725"/>
    <w:rsid w:val="00B37AB8"/>
    <w:rsid w:val="00B778C4"/>
    <w:rsid w:val="00BA6058"/>
    <w:rsid w:val="00BB7DCC"/>
    <w:rsid w:val="00BD5665"/>
    <w:rsid w:val="00BF073B"/>
    <w:rsid w:val="00C012D3"/>
    <w:rsid w:val="00C20664"/>
    <w:rsid w:val="00C22BAC"/>
    <w:rsid w:val="00C3081B"/>
    <w:rsid w:val="00C44FB7"/>
    <w:rsid w:val="00C65EDD"/>
    <w:rsid w:val="00C7311F"/>
    <w:rsid w:val="00CF65DD"/>
    <w:rsid w:val="00CF72B4"/>
    <w:rsid w:val="00D11FE5"/>
    <w:rsid w:val="00D326B3"/>
    <w:rsid w:val="00D75B99"/>
    <w:rsid w:val="00D953D2"/>
    <w:rsid w:val="00DA071B"/>
    <w:rsid w:val="00DC42D3"/>
    <w:rsid w:val="00DD4E63"/>
    <w:rsid w:val="00DF2D69"/>
    <w:rsid w:val="00E164F0"/>
    <w:rsid w:val="00E30F99"/>
    <w:rsid w:val="00E3512E"/>
    <w:rsid w:val="00EA19ED"/>
    <w:rsid w:val="00EA2C92"/>
    <w:rsid w:val="00EA580E"/>
    <w:rsid w:val="00EA5E80"/>
    <w:rsid w:val="00EB322B"/>
    <w:rsid w:val="00EB4B25"/>
    <w:rsid w:val="00EC20DF"/>
    <w:rsid w:val="00EC56D4"/>
    <w:rsid w:val="00EF13BD"/>
    <w:rsid w:val="00F40CCA"/>
    <w:rsid w:val="00F4127A"/>
    <w:rsid w:val="00F74B8D"/>
    <w:rsid w:val="00F9218A"/>
    <w:rsid w:val="00F93B57"/>
    <w:rsid w:val="00FF21B8"/>
    <w:rsid w:val="0B693440"/>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Theme="minorHAns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jc w:val="both"/>
    </w:pPr>
    <w:rPr>
      <w:rFonts w:ascii="Avenir" w:hAnsi="Avenir" w:cs="Arial" w:eastAsiaTheme="minorHAnsi"/>
      <w:sz w:val="24"/>
      <w:szCs w:val="24"/>
      <w:lang w:val="es-MX" w:eastAsia="en-US" w:bidi="ar-SA"/>
    </w:rPr>
  </w:style>
  <w:style w:type="paragraph" w:styleId="2">
    <w:name w:val="heading 1"/>
    <w:basedOn w:val="1"/>
    <w:link w:val="13"/>
    <w:qFormat/>
    <w:uiPriority w:val="9"/>
    <w:pPr>
      <w:spacing w:before="100" w:beforeAutospacing="1" w:after="100" w:afterAutospacing="1"/>
      <w:jc w:val="left"/>
      <w:outlineLvl w:val="0"/>
    </w:pPr>
    <w:rPr>
      <w:rFonts w:ascii="Times New Roman" w:hAnsi="Times New Roman" w:eastAsia="Times New Roman" w:cs="Times New Roman"/>
      <w:b/>
      <w:bCs/>
      <w:kern w:val="36"/>
      <w:sz w:val="48"/>
      <w:szCs w:val="48"/>
      <w:lang w:eastAsia="es-MX"/>
    </w:rPr>
  </w:style>
  <w:style w:type="paragraph" w:styleId="3">
    <w:name w:val="heading 3"/>
    <w:basedOn w:val="1"/>
    <w:next w:val="1"/>
    <w:link w:val="15"/>
    <w:semiHidden/>
    <w:unhideWhenUsed/>
    <w:qFormat/>
    <w:uiPriority w:val="9"/>
    <w:pPr>
      <w:keepNext/>
      <w:keepLines/>
      <w:spacing w:before="40"/>
      <w:outlineLvl w:val="2"/>
    </w:pPr>
    <w:rPr>
      <w:rFonts w:asciiTheme="majorHAnsi" w:hAnsiTheme="majorHAnsi" w:eastAsiaTheme="majorEastAsia" w:cstheme="majorBidi"/>
      <w:color w:val="1F4E79" w:themeColor="accent1" w:themeShade="80"/>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Strong"/>
    <w:basedOn w:val="4"/>
    <w:qFormat/>
    <w:uiPriority w:val="22"/>
    <w:rPr>
      <w:b/>
      <w:bCs/>
    </w:rPr>
  </w:style>
  <w:style w:type="paragraph" w:styleId="7">
    <w:name w:val="header"/>
    <w:basedOn w:val="1"/>
    <w:link w:val="10"/>
    <w:unhideWhenUsed/>
    <w:qFormat/>
    <w:uiPriority w:val="99"/>
    <w:pPr>
      <w:tabs>
        <w:tab w:val="center" w:pos="4419"/>
        <w:tab w:val="right" w:pos="8838"/>
      </w:tabs>
    </w:pPr>
  </w:style>
  <w:style w:type="paragraph" w:styleId="8">
    <w:name w:val="Normal (Web)"/>
    <w:basedOn w:val="1"/>
    <w:semiHidden/>
    <w:unhideWhenUsed/>
    <w:qFormat/>
    <w:uiPriority w:val="99"/>
    <w:rPr>
      <w:rFonts w:ascii="Times New Roman" w:hAnsi="Times New Roman" w:cs="Times New Roman"/>
    </w:rPr>
  </w:style>
  <w:style w:type="paragraph" w:styleId="9">
    <w:name w:val="footer"/>
    <w:basedOn w:val="1"/>
    <w:link w:val="11"/>
    <w:unhideWhenUsed/>
    <w:qFormat/>
    <w:uiPriority w:val="99"/>
    <w:pPr>
      <w:tabs>
        <w:tab w:val="center" w:pos="4419"/>
        <w:tab w:val="right" w:pos="8838"/>
      </w:tabs>
    </w:pPr>
  </w:style>
  <w:style w:type="character" w:customStyle="1" w:styleId="10">
    <w:name w:val="Encabezado Car"/>
    <w:basedOn w:val="4"/>
    <w:link w:val="7"/>
    <w:qFormat/>
    <w:uiPriority w:val="99"/>
  </w:style>
  <w:style w:type="character" w:customStyle="1" w:styleId="11">
    <w:name w:val="Pie de página Car"/>
    <w:basedOn w:val="4"/>
    <w:link w:val="9"/>
    <w:qFormat/>
    <w:uiPriority w:val="99"/>
  </w:style>
  <w:style w:type="paragraph" w:styleId="12">
    <w:name w:val="List Paragraph"/>
    <w:basedOn w:val="1"/>
    <w:qFormat/>
    <w:uiPriority w:val="34"/>
    <w:pPr>
      <w:spacing w:after="160" w:line="259" w:lineRule="auto"/>
      <w:ind w:left="720"/>
      <w:contextualSpacing/>
    </w:pPr>
    <w:rPr>
      <w:rFonts w:ascii="Calibri" w:hAnsi="Calibri" w:eastAsia="Calibri"/>
      <w:sz w:val="22"/>
      <w:szCs w:val="22"/>
    </w:rPr>
  </w:style>
  <w:style w:type="character" w:customStyle="1" w:styleId="13">
    <w:name w:val="Título 1 Car"/>
    <w:basedOn w:val="4"/>
    <w:link w:val="2"/>
    <w:qFormat/>
    <w:uiPriority w:val="9"/>
    <w:rPr>
      <w:rFonts w:ascii="Times New Roman" w:hAnsi="Times New Roman" w:eastAsia="Times New Roman" w:cs="Times New Roman"/>
      <w:b/>
      <w:bCs/>
      <w:kern w:val="36"/>
      <w:sz w:val="48"/>
      <w:szCs w:val="48"/>
    </w:rPr>
  </w:style>
  <w:style w:type="character" w:customStyle="1" w:styleId="14">
    <w:name w:val="apple-converted-space"/>
    <w:basedOn w:val="4"/>
    <w:uiPriority w:val="0"/>
  </w:style>
  <w:style w:type="character" w:customStyle="1" w:styleId="15">
    <w:name w:val="Título 3 Car"/>
    <w:basedOn w:val="4"/>
    <w:link w:val="3"/>
    <w:semiHidden/>
    <w:uiPriority w:val="9"/>
    <w:rPr>
      <w:rFonts w:asciiTheme="majorHAnsi" w:hAnsiTheme="majorHAnsi" w:eastAsiaTheme="majorEastAsia" w:cstheme="majorBidi"/>
      <w:color w:val="1F4E79" w:themeColor="accent1" w:themeShade="80"/>
      <w:sz w:val="24"/>
      <w:szCs w:val="24"/>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753</Words>
  <Characters>4149</Characters>
  <Lines>34</Lines>
  <Paragraphs>9</Paragraphs>
  <TotalTime>3</TotalTime>
  <ScaleCrop>false</ScaleCrop>
  <LinksUpToDate>false</LinksUpToDate>
  <CharactersWithSpaces>4886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2026-09-26T02:45:00Z</dcterms:created>
  <dc:creator>Espinosa Esparza, Alberto</dc:creator>
  <cp:lastModifiedBy>nefi hernandez</cp:lastModifiedBy>
  <dcterms:modified xsi:type="dcterms:W3CDTF">2026-09-26T02:51:43Z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2058-12.1.0.28485</vt:lpwstr>
  </property>
  <property fmtid="{D5CDD505-2E9C-101B-9397-08002B2CF9AE}" pid="4" name="ICV">
    <vt:lpwstr>76AD0FDB640B4539820D3739F85D630B_12</vt:lpwstr>
  </property>
</Properties>
</file>