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0364" w:rsidRDefault="008E3F37">
      <w:pPr>
        <w:jc w:val="right"/>
      </w:pPr>
      <w:r>
        <w:t xml:space="preserve">Querétaro, </w:t>
      </w:r>
      <w:proofErr w:type="spellStart"/>
      <w:r>
        <w:t>Qro</w:t>
      </w:r>
      <w:proofErr w:type="spellEnd"/>
      <w:r>
        <w:t>., 1 de octubre de 2026</w:t>
      </w:r>
    </w:p>
    <w:p w:rsidR="004A0364" w:rsidRDefault="004A0364">
      <w:pPr>
        <w:jc w:val="center"/>
        <w:rPr>
          <w:b/>
          <w:bCs/>
        </w:rPr>
      </w:pPr>
    </w:p>
    <w:p w:rsidR="004A0364" w:rsidRDefault="008E3F37">
      <w:pPr>
        <w:jc w:val="center"/>
        <w:rPr>
          <w:b/>
          <w:bCs/>
        </w:rPr>
      </w:pPr>
      <w:r>
        <w:rPr>
          <w:b/>
          <w:bCs/>
        </w:rPr>
        <w:t>BOLETÍN 247/26</w:t>
      </w:r>
    </w:p>
    <w:p w:rsidR="004A0364" w:rsidRDefault="004A0364">
      <w:pPr>
        <w:rPr>
          <w:b/>
          <w:bCs/>
        </w:rPr>
      </w:pPr>
    </w:p>
    <w:p w:rsidR="004A0364" w:rsidRDefault="008E3F37">
      <w:pPr>
        <w:jc w:val="center"/>
        <w:rPr>
          <w:b/>
          <w:bCs/>
        </w:rPr>
      </w:pPr>
      <w:r>
        <w:rPr>
          <w:b/>
          <w:bCs/>
        </w:rPr>
        <w:t xml:space="preserve">A la vanguardia HITO de Querétaro en innovación y tecnología con acelerador lineal, resonancia y radiación </w:t>
      </w:r>
    </w:p>
    <w:p w:rsidR="004A0364" w:rsidRDefault="004A0364"/>
    <w:p w:rsidR="004A0364" w:rsidRDefault="008E3F37">
      <w:pPr>
        <w:numPr>
          <w:ilvl w:val="0"/>
          <w:numId w:val="1"/>
        </w:numPr>
        <w:pBdr>
          <w:top w:val="nil"/>
          <w:left w:val="nil"/>
          <w:bottom w:val="nil"/>
          <w:right w:val="nil"/>
          <w:between w:val="nil"/>
        </w:pBdr>
        <w:spacing w:line="259" w:lineRule="auto"/>
        <w:rPr>
          <w:color w:val="000000"/>
          <w:sz w:val="22"/>
          <w:szCs w:val="22"/>
        </w:rPr>
      </w:pPr>
      <w:r>
        <w:rPr>
          <w:color w:val="000000"/>
          <w:sz w:val="22"/>
          <w:szCs w:val="22"/>
        </w:rPr>
        <w:t>Autoridades encabezadas por el Gobernador inauguraron la nueva área de radioterapia</w:t>
      </w:r>
      <w:r>
        <w:rPr>
          <w:rFonts w:ascii="Calibri" w:eastAsia="Calibri" w:hAnsi="Calibri" w:cs="Calibri"/>
          <w:color w:val="000000"/>
          <w:sz w:val="22"/>
          <w:szCs w:val="22"/>
        </w:rPr>
        <w:t xml:space="preserve"> que cuenta con un búnker de concreto de alta densidad y aloja un Acelerador–Resonancia </w:t>
      </w:r>
      <w:proofErr w:type="spellStart"/>
      <w:r>
        <w:rPr>
          <w:rFonts w:ascii="Calibri" w:eastAsia="Calibri" w:hAnsi="Calibri" w:cs="Calibri"/>
          <w:color w:val="000000"/>
          <w:sz w:val="22"/>
          <w:szCs w:val="22"/>
        </w:rPr>
        <w:t>Elekta</w:t>
      </w:r>
      <w:proofErr w:type="spellEnd"/>
      <w:r>
        <w:rPr>
          <w:rFonts w:ascii="Calibri" w:eastAsia="Calibri" w:hAnsi="Calibri" w:cs="Calibri"/>
          <w:color w:val="000000"/>
          <w:sz w:val="22"/>
          <w:szCs w:val="22"/>
        </w:rPr>
        <w:t xml:space="preserve"> UNITY.</w:t>
      </w:r>
    </w:p>
    <w:p w:rsidR="004A0364" w:rsidRDefault="008E3F37">
      <w:pPr>
        <w:numPr>
          <w:ilvl w:val="0"/>
          <w:numId w:val="1"/>
        </w:numPr>
        <w:pBdr>
          <w:top w:val="nil"/>
          <w:left w:val="nil"/>
          <w:bottom w:val="nil"/>
          <w:right w:val="nil"/>
          <w:between w:val="nil"/>
        </w:pBdr>
        <w:spacing w:line="259" w:lineRule="auto"/>
        <w:rPr>
          <w:color w:val="000000"/>
          <w:sz w:val="22"/>
          <w:szCs w:val="22"/>
        </w:rPr>
      </w:pPr>
      <w:r>
        <w:rPr>
          <w:color w:val="000000"/>
          <w:sz w:val="22"/>
          <w:szCs w:val="22"/>
        </w:rPr>
        <w:t>El proyecto se logró con el apo</w:t>
      </w:r>
      <w:r w:rsidR="00975DB1">
        <w:rPr>
          <w:color w:val="000000"/>
          <w:sz w:val="22"/>
          <w:szCs w:val="22"/>
        </w:rPr>
        <w:t xml:space="preserve">yo de la Fundación Diez </w:t>
      </w:r>
      <w:proofErr w:type="spellStart"/>
      <w:r w:rsidR="00975DB1">
        <w:rPr>
          <w:color w:val="000000"/>
          <w:sz w:val="22"/>
          <w:szCs w:val="22"/>
        </w:rPr>
        <w:t>Morodo</w:t>
      </w:r>
      <w:proofErr w:type="spellEnd"/>
      <w:r w:rsidR="00975DB1">
        <w:rPr>
          <w:color w:val="000000"/>
          <w:sz w:val="22"/>
          <w:szCs w:val="22"/>
        </w:rPr>
        <w:t>,</w:t>
      </w:r>
      <w:r>
        <w:rPr>
          <w:color w:val="000000"/>
          <w:sz w:val="22"/>
          <w:szCs w:val="22"/>
        </w:rPr>
        <w:t xml:space="preserve"> la empresa sueca </w:t>
      </w:r>
      <w:proofErr w:type="spellStart"/>
      <w:r>
        <w:rPr>
          <w:color w:val="000000"/>
          <w:sz w:val="22"/>
          <w:szCs w:val="22"/>
        </w:rPr>
        <w:t>Elekta</w:t>
      </w:r>
      <w:proofErr w:type="spellEnd"/>
      <w:r>
        <w:rPr>
          <w:color w:val="000000"/>
          <w:sz w:val="22"/>
          <w:szCs w:val="22"/>
        </w:rPr>
        <w:t xml:space="preserve"> y una inyección de capital por 12.5 millones de dólares.  </w:t>
      </w:r>
    </w:p>
    <w:p w:rsidR="004A0364" w:rsidRDefault="008E3F37">
      <w:pPr>
        <w:numPr>
          <w:ilvl w:val="0"/>
          <w:numId w:val="1"/>
        </w:numPr>
        <w:pBdr>
          <w:top w:val="nil"/>
          <w:left w:val="nil"/>
          <w:bottom w:val="nil"/>
          <w:right w:val="nil"/>
          <w:between w:val="nil"/>
        </w:pBdr>
        <w:spacing w:after="160" w:line="259" w:lineRule="auto"/>
        <w:rPr>
          <w:color w:val="000000"/>
          <w:sz w:val="22"/>
          <w:szCs w:val="22"/>
        </w:rPr>
      </w:pPr>
      <w:r>
        <w:rPr>
          <w:color w:val="000000"/>
          <w:sz w:val="22"/>
          <w:szCs w:val="22"/>
        </w:rPr>
        <w:t>Ofrecer</w:t>
      </w:r>
      <w:r>
        <w:rPr>
          <w:color w:val="000000"/>
          <w:sz w:val="22"/>
          <w:szCs w:val="22"/>
        </w:rPr>
        <w:t xml:space="preserve">á un tratamiento más preciso que los equipos convencionales, </w:t>
      </w:r>
      <w:r>
        <w:rPr>
          <w:color w:val="000000"/>
          <w:sz w:val="22"/>
          <w:szCs w:val="22"/>
        </w:rPr>
        <w:t xml:space="preserve">integra radiación de alta energía con resonancia magnética, lo que permite visualizar el tumor y los tejidos cercanos en tiempo real, brindando mayor protección a los órganos sanos. </w:t>
      </w:r>
    </w:p>
    <w:p w:rsidR="004A0364" w:rsidRPr="00642B46" w:rsidRDefault="008E3F37" w:rsidP="00642B46">
      <w:pPr>
        <w:spacing w:before="240" w:after="240"/>
      </w:pPr>
      <w:r>
        <w:t>Resulta</w:t>
      </w:r>
      <w:r>
        <w:t>do de la suma de esfuerzos para poner tecnología de alto nivel al alcance de niñas y niños con cáncer, autoridades encabezadas por el gobernador, Mauricio Kuri González, inauguraron en el Hospital Infantil Teletón de Oncología (HITO) la nueva área de radio</w:t>
      </w:r>
      <w:r>
        <w:t xml:space="preserve">terapia </w:t>
      </w:r>
      <w:r w:rsidR="00642B46">
        <w:t xml:space="preserve">adaptativa </w:t>
      </w:r>
      <w:r>
        <w:t xml:space="preserve">que cuenta con un búnker de concreto de alta densidad y aloja un Acelerador–Resonancia </w:t>
      </w:r>
      <w:proofErr w:type="spellStart"/>
      <w:r>
        <w:t>Elekta</w:t>
      </w:r>
      <w:proofErr w:type="spellEnd"/>
      <w:r>
        <w:t xml:space="preserve"> UNITY, el cual ofrecerá un tratamiento más preciso que los equipos convencionales al integrar radiación de alta energía con resonancia magnética, lo que p</w:t>
      </w:r>
      <w:r>
        <w:t>ermite visualizar el tumor y los tejidos cercanos en tiempo real</w:t>
      </w:r>
      <w:r w:rsidR="00642B46">
        <w:t>.</w:t>
      </w:r>
    </w:p>
    <w:p w:rsidR="004A0364" w:rsidRDefault="008E3F37">
      <w:pPr>
        <w:spacing w:before="240" w:after="240"/>
      </w:pPr>
      <w:r>
        <w:t xml:space="preserve">Durante la presentación del proyecto que se logró gracias al apoyo de la Fundación Diez </w:t>
      </w:r>
      <w:proofErr w:type="spellStart"/>
      <w:r>
        <w:t>Morodo</w:t>
      </w:r>
      <w:proofErr w:type="spellEnd"/>
      <w:r>
        <w:t xml:space="preserve"> y de la empresa sueca </w:t>
      </w:r>
      <w:proofErr w:type="spellStart"/>
      <w:r>
        <w:t>Elekta</w:t>
      </w:r>
      <w:proofErr w:type="spellEnd"/>
      <w:r>
        <w:t>, con una inyección de capital de 12.5 millones de dólares, el mand</w:t>
      </w:r>
      <w:r>
        <w:t>atario estatal, en compañía de la presidenta del Sistema Estatal DIF, Car Herrera, manifestó su beneplácito por el trabajo que realiza el HITO en la entidad, desde donde, dijo, se ha construido, a lo largo de los años, una institución de alto nivel que rec</w:t>
      </w:r>
      <w:r>
        <w:t>ibe a familias que atraviesan uno de los momentos más difíciles que cualquiera puede enfrentar.</w:t>
      </w:r>
    </w:p>
    <w:p w:rsidR="004A0364" w:rsidRDefault="008E3F37">
      <w:pPr>
        <w:spacing w:before="240" w:after="240"/>
      </w:pPr>
      <w:r>
        <w:t>“Creo mucho en la responsabilidad social de las empresas. Cuando hablo con mis hijos y le digo, si vas a trabajar con alguien, que sea con un empresario, no con</w:t>
      </w:r>
      <w:r>
        <w:t xml:space="preserve"> un hombre de negocios. El empresario ve más allá, ve mucho más allá de solamente tener utilidades, que claro que deben de tener utilidades, sino también ve la responsabilidad social que se tiene para cambiar la realidad de tu comunidad (…) Igual que la em</w:t>
      </w:r>
      <w:r>
        <w:t xml:space="preserve">presa </w:t>
      </w:r>
      <w:proofErr w:type="spellStart"/>
      <w:r>
        <w:t>Elekta</w:t>
      </w:r>
      <w:proofErr w:type="spellEnd"/>
      <w:r>
        <w:t>, gracias por el apoyo que dio para tener este acelerador lineal, que tengo entendido que nada más porque valga 12 millones y medio de dólares, es un dineral y se lo agradezco infinitamente”, expresó.</w:t>
      </w:r>
    </w:p>
    <w:p w:rsidR="004A0364" w:rsidRDefault="008E3F37">
      <w:pPr>
        <w:spacing w:before="240" w:after="240"/>
      </w:pPr>
      <w:r>
        <w:t>Reconoció a la Fundación Teletón, a sus dir</w:t>
      </w:r>
      <w:r>
        <w:t xml:space="preserve">ectivos y a quienes siguen confiando en este proyecto, porque, acentuó, este hospital, sus tratamientos y </w:t>
      </w:r>
      <w:r w:rsidR="00642B46">
        <w:t>el</w:t>
      </w:r>
      <w:r>
        <w:t xml:space="preserve"> nuevo equipo que permitirá</w:t>
      </w:r>
      <w:r>
        <w:t xml:space="preserve"> </w:t>
      </w:r>
      <w:r>
        <w:t>adaptar diariamente el tratamiento de acuerdo con los cambios del tumor y la anatomía de cada paciente, brind</w:t>
      </w:r>
      <w:r>
        <w:t xml:space="preserve">ando mayor protección a los órganos sanos; además, puede reducir el tiempo total del tratamiento, lo que también disminuye la estancia hospitalaria o en el </w:t>
      </w:r>
      <w:r>
        <w:lastRenderedPageBreak/>
        <w:t xml:space="preserve">albergue, existen gracias a personas que han decidido ayudar, </w:t>
      </w:r>
      <w:r>
        <w:t>a</w:t>
      </w:r>
      <w:r w:rsidR="003E2AF8">
        <w:t xml:space="preserve">sí como </w:t>
      </w:r>
      <w:r>
        <w:t>del trabajo de fundaciones, emp</w:t>
      </w:r>
      <w:r>
        <w:t>resas, médicos y especialistas que han puesto sus recursos y conocimiento al servicio de las y los niños.</w:t>
      </w:r>
    </w:p>
    <w:p w:rsidR="004A0364" w:rsidRDefault="008E3F37">
      <w:pPr>
        <w:spacing w:before="240" w:after="240"/>
      </w:pPr>
      <w:r>
        <w:t xml:space="preserve">“Pero también está la otra parte de la moneda, cuando ves doctoras, doctores, que están verdaderamente entregados a salvar la vida de un niño, cuando </w:t>
      </w:r>
      <w:r>
        <w:t>ves empresas que se avientan a soltar parte de sus utilidades, porque aparte, para qué un negocio sea negocio cuesta sangre, sudor y lágrimas, entonces, verdaderamente, cuando una empresa dona, hay que agradecerle mucho, porque trabajaron mucho para que ll</w:t>
      </w:r>
      <w:r>
        <w:t>egaran a tener utilidades y pudieran llegar a tener esa forma de poder apoyar (…) De corazón, gracias a ustedes. Gracias por rifarse, por darle esperanza a niñas, a niños, a adolescentes, porque sin ustedes, ¿qué hubiera sido de todas estas vidas y familia</w:t>
      </w:r>
      <w:r>
        <w:t>s que a ustedes les han dado esperanza?”, manifestó.</w:t>
      </w:r>
    </w:p>
    <w:p w:rsidR="004A0364" w:rsidRDefault="008E3F37">
      <w:pPr>
        <w:spacing w:before="240" w:after="240"/>
      </w:pPr>
      <w:r>
        <w:t>Al reconocer que el cáncer infantil sigue siendo la primera causa de muerte por enfermedad en México, la titular de la Comisión Coordinadora de los Institutos Nacionales de Salud y Hospitales de Alta Esp</w:t>
      </w:r>
      <w:r>
        <w:t xml:space="preserve">ecialidad de la Secretaría de Salud del Gobierno de México, Martha </w:t>
      </w:r>
      <w:r>
        <w:t xml:space="preserve"> Zapata</w:t>
      </w:r>
      <w:r>
        <w:t>, destacó que gracias a instituciones como el Hospital Teletón que brinda tratamientos curativos en México es posible tener una supervivencia igual a la de otros país</w:t>
      </w:r>
      <w:r>
        <w:t>es del mundo; reconoció el compromiso de las autoridades estatales para con las y los niños con cáncer, y los adolescentes a los cuales se les puede dar acceso a esta esperanza de vida; también</w:t>
      </w:r>
      <w:r>
        <w:t>, invitó a contribuir a la difusión del diagnóstico temprano.</w:t>
      </w:r>
    </w:p>
    <w:p w:rsidR="004A0364" w:rsidRDefault="008E3F37">
      <w:pPr>
        <w:spacing w:before="240" w:after="240"/>
      </w:pPr>
      <w:r>
        <w:t>“Desde digamos la Secretaría de Salud nosotros tenemos ese compromiso de poder contribuir al diagnóstico temprano, poder dar acceso a los niños y a las niñas a la esperanza de un tratamiento curativo y si no es así poder acompañarlos con el tema de cuidado</w:t>
      </w:r>
      <w:r>
        <w:t>s paliativos a lo largo de su vida, a ellos y a todas las personas que los acompañan, sus familias, sus maestros, etcétera. Entonces enhorabuena, muchísimas felicidades por este nuevo equipo, por esta nueva esperanza y por esta nueva realidad”, ponderó.</w:t>
      </w:r>
    </w:p>
    <w:p w:rsidR="004A0364" w:rsidRDefault="008E3F37">
      <w:pPr>
        <w:spacing w:before="240" w:after="240"/>
      </w:pPr>
      <w:r>
        <w:t>Tr</w:t>
      </w:r>
      <w:r>
        <w:t>as resaltar que en el HITO se registra el 86 por ciento de sobrevida, índice que lo ubica a la vanguardia de cualquier centro internacional del mundo, la secretaria del Consejo de Salubridad General de la Secretaría de Salud del Gobierno de México, Patrici</w:t>
      </w:r>
      <w:r>
        <w:t>a Clark, en la presentación de la nueva área de radioterapia y en su calidad de testigo de honor, enfatizó que estos actos suceden cuando la innovación, la ciencia, la tecnología, la solidaridad y la voluntad de servir se unen alrededor de una misma causa,</w:t>
      </w:r>
      <w:r>
        <w:t xml:space="preserve"> que en este caso es la vida y el bienestar de las niñas y niños. En este marco, señaló que, a través de los Protocolos Nacionales de Atención Médica (PRONAM), impulsan el Diagnóstico Temprano de Cáncer en Niñas, Niños y Adolescentes.</w:t>
      </w:r>
    </w:p>
    <w:p w:rsidR="004A0364" w:rsidRDefault="008E3F37">
      <w:pPr>
        <w:spacing w:before="240" w:after="240"/>
      </w:pPr>
      <w:r>
        <w:t>“Cada avance en la ci</w:t>
      </w:r>
      <w:r>
        <w:t>encia médica, cada nueva tecnología, cada esfuerzo por mejorar sus tratamientos, pues representa mucho más que una infraestructura. Representa esperanza, representa oportunidades y para muchas familias representa una nueva posibilidad de vida. Y justamente</w:t>
      </w:r>
      <w:r>
        <w:t xml:space="preserve"> por eso el equipo que hoy se inaugura es tan importante. Este acelerador de resonancia para radioterapia adaptativa integra la radioterapia con sistemas muy avanzados (…) dicho de una manera sencilla permite a todos los especialistas ver con mayor clarida</w:t>
      </w:r>
      <w:r>
        <w:t xml:space="preserve">d y </w:t>
      </w:r>
      <w:r>
        <w:lastRenderedPageBreak/>
        <w:t>tratar con mayor precisión a estos cánceres haciendo posible una atención cada vez más personalizada (…) Porque cuando el cáncer infantil se puede llegar a tiempo, se puede cambiar una historia. Cuando trabajamos juntos instituciones, especialistas, so</w:t>
      </w:r>
      <w:r>
        <w:t>ciedad civil y sector privado, podemos convertir la innovación en algo concreto. Más oportunidades de vida para nuestros niños, nuestras niñas y nuestros adolescentes”, conminó.</w:t>
      </w:r>
    </w:p>
    <w:p w:rsidR="004A0364" w:rsidRDefault="008E3F37">
      <w:pPr>
        <w:spacing w:before="240" w:after="240"/>
      </w:pPr>
      <w:r>
        <w:t>Durante su mensaje, el presidente de la Fundación Teletón México, Fernando Lan</w:t>
      </w:r>
      <w:r>
        <w:t xml:space="preserve">deros Verdugo, detalló que el nuevo equipo, con un valor de 12.5 millones de dólares, fue posible gracias a la Fundación Diez </w:t>
      </w:r>
      <w:proofErr w:type="spellStart"/>
      <w:r>
        <w:t>M</w:t>
      </w:r>
      <w:r w:rsidR="00DB6A0B">
        <w:t>orodo</w:t>
      </w:r>
      <w:proofErr w:type="spellEnd"/>
      <w:r>
        <w:t xml:space="preserve">, </w:t>
      </w:r>
      <w:proofErr w:type="spellStart"/>
      <w:r>
        <w:t>E</w:t>
      </w:r>
      <w:r w:rsidR="00DB6A0B">
        <w:t>lekta</w:t>
      </w:r>
      <w:proofErr w:type="spellEnd"/>
      <w:r>
        <w:t xml:space="preserve"> y todos cuando dan su donativo en el Teletón; agradeció a Mauricio Kuri, a quien calificó como un aliado, y a su go</w:t>
      </w:r>
      <w:r>
        <w:t>bierno, que, desde el primer día, dijo, este estado les abrió las puertas de par en par para vencer a esta enfermedad.</w:t>
      </w:r>
    </w:p>
    <w:p w:rsidR="004A0364" w:rsidRDefault="008E3F37">
      <w:pPr>
        <w:spacing w:before="240" w:after="240"/>
      </w:pPr>
      <w:r>
        <w:t>“Hoy no solamente estamos inaugurando un acelerador lineal, que eso suena, ¿no? Venimos a la inauguración de un acelerador lineal. Hoy lo</w:t>
      </w:r>
      <w:r>
        <w:t xml:space="preserve"> que estamos inaugurando es tiempo. Estamos inaugurando tiempo de vida. Estamos inaugurando tiempo para abrazar. </w:t>
      </w:r>
      <w:bookmarkStart w:id="0" w:name="_GoBack"/>
      <w:bookmarkEnd w:id="0"/>
      <w:r>
        <w:t>Estamos inaugurando tiempo para crecer. Estamos inaugurando tiempo para cumplir sueños. Porque cuando un niño tiene cáncer, cada minuto cuenta.</w:t>
      </w:r>
      <w:r>
        <w:t xml:space="preserve"> Detrás de esta extraordinaria tecnología hay algo mucho más grande que una máquina. Hay médicos que luchan, familias que esperan y niños que quieren seguir viviendo. Salvar una vida es quizá el acto más grande al que puede aspirar un ser humano”, aseveró.</w:t>
      </w:r>
    </w:p>
    <w:p w:rsidR="004A0364" w:rsidRDefault="008E3F37">
      <w:pPr>
        <w:spacing w:before="240" w:after="240"/>
      </w:pPr>
      <w:r>
        <w:t xml:space="preserve">La directora de Diagnóstico del Hospital Infantil Teletón de Oncología, Beatriz García, comunicó que actualmente en el país existen 170 aceleradores lineales con 610 médicos </w:t>
      </w:r>
      <w:proofErr w:type="spellStart"/>
      <w:r>
        <w:t>radioncólogos</w:t>
      </w:r>
      <w:proofErr w:type="spellEnd"/>
      <w:r>
        <w:t xml:space="preserve"> certificados por la Sociedad Mexicana de Radioterapia y al hacer un</w:t>
      </w:r>
      <w:r>
        <w:t xml:space="preserve"> recuento del uso de la tomografía con el paso de los años a lo más útil ahora que es utilizar imágenes de resonancia magnética para adaptar la radiación justamente a donde se encuentra el tumor y proteger estos tejidos sanos.</w:t>
      </w:r>
    </w:p>
    <w:p w:rsidR="004A0364" w:rsidRDefault="008E3F37">
      <w:pPr>
        <w:spacing w:before="240" w:after="240"/>
      </w:pPr>
      <w:r>
        <w:t xml:space="preserve">Recalcó que lo nuevo de este </w:t>
      </w:r>
      <w:r>
        <w:t>aparato es que podrán ver el tumor en tiempo real y, por lo tanto, adaptar el tratamiento, es decir, hacer un traje completamente a la medida todos los días para tratar de evitar efectos secundarios. Celebró que, con este tipo de equipos, van a lograr un 4</w:t>
      </w:r>
      <w:r>
        <w:t xml:space="preserve">0 por ciento menos de sesiones de radiación y van a ayudar a limitar los efectos adversos a largo plazo, que es algo que a los </w:t>
      </w:r>
      <w:proofErr w:type="spellStart"/>
      <w:r>
        <w:t>radioncólogos</w:t>
      </w:r>
      <w:proofErr w:type="spellEnd"/>
      <w:r>
        <w:t xml:space="preserve"> siempre les preocupa en todos los niños que reciben radiación.</w:t>
      </w:r>
    </w:p>
    <w:p w:rsidR="004A0364" w:rsidRDefault="008E3F37">
      <w:pPr>
        <w:spacing w:before="240" w:after="240"/>
      </w:pPr>
      <w:r>
        <w:t>La directora general del Hospital Infantil Teletón d</w:t>
      </w:r>
      <w:r>
        <w:t xml:space="preserve">e Oncología, Lourdes Vega </w:t>
      </w:r>
      <w:proofErr w:type="spellStart"/>
      <w:r>
        <w:t>Vega</w:t>
      </w:r>
      <w:proofErr w:type="spellEnd"/>
      <w:r>
        <w:t>, celebró la incorporación de tecnologías como UNITY, que representan mucho más que una innovación médica; representa la posibilidad de ofrecer tratamientos cada vez más precisos, más seguros y más personalizados, la oportunid</w:t>
      </w:r>
      <w:r>
        <w:t>ad de seguir acercando a México los avances que están transformando la oncología pediátrica en el mundo; pero, sobre todo, puntualizó, representa una herramienta más para cumplir la misión, salvar más vidas y hacerlo con la mayor calidad posible.</w:t>
      </w:r>
    </w:p>
    <w:p w:rsidR="004A0364" w:rsidRDefault="008E3F37">
      <w:pPr>
        <w:spacing w:before="240" w:after="240"/>
      </w:pPr>
      <w:r>
        <w:t>Posterior</w:t>
      </w:r>
      <w:r>
        <w:t xml:space="preserve"> al acto protocolario, el Gobernador, junto a las autoridades presentes, realizó el corte de listón que de manera simultánea se dio desde el búnker que aloja el Acelerador–</w:t>
      </w:r>
      <w:r>
        <w:lastRenderedPageBreak/>
        <w:t xml:space="preserve">Resonancia </w:t>
      </w:r>
      <w:proofErr w:type="spellStart"/>
      <w:r>
        <w:t>Elekta</w:t>
      </w:r>
      <w:proofErr w:type="spellEnd"/>
      <w:r>
        <w:t xml:space="preserve"> UNITY, para el cual se requirieron 49 toneladas de acero y el conc</w:t>
      </w:r>
      <w:r>
        <w:t>reto equivalente a 76 camiones revolvedoras. El búnker está hecho con concreto de alta densidad y los muros alcanzan hasta 1.7 metros de espesor.</w:t>
      </w:r>
    </w:p>
    <w:p w:rsidR="004A0364" w:rsidRDefault="008E3F37">
      <w:pPr>
        <w:spacing w:before="240" w:after="240"/>
      </w:pPr>
      <w:r>
        <w:t>Este espacio se construyó en etapas. La primera implicó la construcción del búnker. Posteriormente, ingresaron</w:t>
      </w:r>
      <w:r>
        <w:t xml:space="preserve"> el magneto, el cual tiene un peso aproximado de 6.5 toneladas.</w:t>
      </w:r>
    </w:p>
    <w:p w:rsidR="004A0364" w:rsidRDefault="008E3F37">
      <w:pPr>
        <w:spacing w:before="240" w:after="240"/>
      </w:pPr>
      <w:r>
        <w:t>Y después se instaló la puerta de este espacio, la cual pesa alrededor de 1.3 toneladas. Las medidas y los parámetros utilizados para la construcción del búnker fueron calculados por un físico</w:t>
      </w:r>
      <w:r>
        <w:t xml:space="preserve"> especialista en este rubro y cumplen los requerimientos de la Comisión Nacional de Seguridad Nuclear y Salvaguardas.</w:t>
      </w:r>
    </w:p>
    <w:p w:rsidR="004A0364" w:rsidRDefault="004A0364"/>
    <w:p w:rsidR="004A0364" w:rsidRDefault="004A0364"/>
    <w:sectPr w:rsidR="004A0364">
      <w:headerReference w:type="default" r:id="rId8"/>
      <w:footerReference w:type="default" r:id="rId9"/>
      <w:pgSz w:w="12240" w:h="15840"/>
      <w:pgMar w:top="1985" w:right="1701" w:bottom="1417" w:left="1701" w:header="794" w:footer="567"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8E3F37">
      <w:r>
        <w:separator/>
      </w:r>
    </w:p>
  </w:endnote>
  <w:endnote w:type="continuationSeparator" w:id="0">
    <w:p w:rsidR="00000000" w:rsidRDefault="008E3F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charset w:val="00"/>
    <w:family w:val="auto"/>
    <w:pitch w:val="default"/>
    <w:embedRegular r:id="rId1" w:fontKey="{F42234CD-2815-47E3-BDF9-340B232B62C0}"/>
  </w:font>
  <w:font w:name="Courier New">
    <w:panose1 w:val="02070309020205020404"/>
    <w:charset w:val="00"/>
    <w:family w:val="modern"/>
    <w:pitch w:val="fixed"/>
    <w:sig w:usb0="E0002EFF" w:usb1="C0007843" w:usb2="00000009" w:usb3="00000000" w:csb0="000001FF" w:csb1="00000000"/>
  </w:font>
  <w:font w:name="Avenir">
    <w:altName w:val="Times New Roman"/>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64431771-AC5E-4615-9181-449888F9A2B6}"/>
    <w:embedBold r:id="rId3" w:fontKey="{123C7E0E-1925-443B-817C-026C82A4841D}"/>
  </w:font>
  <w:font w:name="Helvetica">
    <w:panose1 w:val="020B0604020202020204"/>
    <w:charset w:val="00"/>
    <w:family w:val="swiss"/>
    <w:pitch w:val="variable"/>
    <w:sig w:usb0="00000003" w:usb1="00000000" w:usb2="00000000" w:usb3="00000000" w:csb0="00000001" w:csb1="00000000"/>
    <w:embedRegular r:id="rId4" w:fontKey="{B36A65DE-15E0-4C42-98D5-7CE823A2B391}"/>
  </w:font>
  <w:font w:name="Georgia">
    <w:panose1 w:val="02040502050405020303"/>
    <w:charset w:val="00"/>
    <w:family w:val="roman"/>
    <w:pitch w:val="variable"/>
    <w:sig w:usb0="00000287" w:usb1="00000000" w:usb2="00000000" w:usb3="00000000" w:csb0="0000009F" w:csb1="00000000"/>
    <w:embedItalic r:id="rId5" w:fontKey="{CF7A8702-EADC-4801-AC06-5C166D34A7CF}"/>
  </w:font>
  <w:font w:name="Calibri Light">
    <w:panose1 w:val="020F0302020204030204"/>
    <w:charset w:val="00"/>
    <w:family w:val="swiss"/>
    <w:pitch w:val="variable"/>
    <w:sig w:usb0="E4002EFF" w:usb1="C200247B" w:usb2="00000009" w:usb3="00000000" w:csb0="000001FF" w:csb1="00000000"/>
    <w:embedRegular r:id="rId6" w:fontKey="{E6C5864B-B4F5-4FEB-A8FE-F17768236B2D}"/>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0364" w:rsidRDefault="008E3F37">
    <w:pPr>
      <w:pBdr>
        <w:top w:val="nil"/>
        <w:left w:val="nil"/>
        <w:bottom w:val="nil"/>
        <w:right w:val="nil"/>
        <w:between w:val="nil"/>
      </w:pBdr>
      <w:tabs>
        <w:tab w:val="center" w:pos="4419"/>
        <w:tab w:val="right" w:pos="8838"/>
      </w:tabs>
      <w:rPr>
        <w:color w:val="000000"/>
      </w:rPr>
    </w:pPr>
    <w:r>
      <w:rPr>
        <w:noProof/>
      </w:rPr>
      <w:drawing>
        <wp:anchor distT="0" distB="0" distL="0" distR="0" simplePos="0" relativeHeight="251659264" behindDoc="1" locked="0" layoutInCell="1" hidden="0" allowOverlap="1">
          <wp:simplePos x="0" y="0"/>
          <wp:positionH relativeFrom="column">
            <wp:posOffset>1464945</wp:posOffset>
          </wp:positionH>
          <wp:positionV relativeFrom="paragraph">
            <wp:posOffset>-476249</wp:posOffset>
          </wp:positionV>
          <wp:extent cx="3067050" cy="1085850"/>
          <wp:effectExtent l="0" t="0" r="0" b="0"/>
          <wp:wrapNone/>
          <wp:docPr id="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l="57961" t="86172" r="2497" b="3080"/>
                  <a:stretch>
                    <a:fillRect/>
                  </a:stretch>
                </pic:blipFill>
                <pic:spPr>
                  <a:xfrm>
                    <a:off x="0" y="0"/>
                    <a:ext cx="3067050" cy="1085850"/>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8E3F37">
      <w:r>
        <w:separator/>
      </w:r>
    </w:p>
  </w:footnote>
  <w:footnote w:type="continuationSeparator" w:id="0">
    <w:p w:rsidR="00000000" w:rsidRDefault="008E3F3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0364" w:rsidRDefault="008E3F37">
    <w:pPr>
      <w:pBdr>
        <w:top w:val="nil"/>
        <w:left w:val="nil"/>
        <w:bottom w:val="nil"/>
        <w:right w:val="nil"/>
        <w:between w:val="nil"/>
      </w:pBdr>
      <w:tabs>
        <w:tab w:val="center" w:pos="4419"/>
        <w:tab w:val="right" w:pos="8838"/>
      </w:tabs>
      <w:rPr>
        <w:color w:val="000000"/>
      </w:rPr>
    </w:pPr>
    <w:r>
      <w:rPr>
        <w:noProof/>
      </w:rPr>
      <mc:AlternateContent>
        <mc:Choice Requires="wpg">
          <w:drawing>
            <wp:anchor distT="0" distB="0" distL="114300" distR="114300" simplePos="0" relativeHeight="251658240" behindDoc="0" locked="0" layoutInCell="1" hidden="0" allowOverlap="1">
              <wp:simplePos x="0" y="0"/>
              <wp:positionH relativeFrom="column">
                <wp:posOffset>3215640</wp:posOffset>
              </wp:positionH>
              <wp:positionV relativeFrom="paragraph">
                <wp:posOffset>-504189</wp:posOffset>
              </wp:positionV>
              <wp:extent cx="3296285" cy="1259840"/>
              <wp:effectExtent l="0" t="0" r="0" b="0"/>
              <wp:wrapSquare wrapText="bothSides" distT="0" distB="0" distL="114300" distR="114300"/>
              <wp:docPr id="8" name=""/>
              <wp:cNvGraphicFramePr/>
              <a:graphic xmlns:a="http://schemas.openxmlformats.org/drawingml/2006/main">
                <a:graphicData uri="http://schemas.microsoft.com/office/word/2010/wordprocessingGroup">
                  <wpg:wgp>
                    <wpg:cNvGrpSpPr/>
                    <wpg:grpSpPr>
                      <a:xfrm>
                        <a:off x="0" y="0"/>
                        <a:ext cx="3296285" cy="1259840"/>
                        <a:chOff x="3697850" y="3150075"/>
                        <a:chExt cx="3296300" cy="1259850"/>
                      </a:xfrm>
                    </wpg:grpSpPr>
                    <wpg:grpSp>
                      <wpg:cNvPr id="1" name="Grupo 1"/>
                      <wpg:cNvGrpSpPr/>
                      <wpg:grpSpPr>
                        <a:xfrm>
                          <a:off x="3697858" y="3150080"/>
                          <a:ext cx="3296285" cy="1259840"/>
                          <a:chOff x="0" y="0"/>
                          <a:chExt cx="3296285" cy="1259840"/>
                        </a:xfrm>
                      </wpg:grpSpPr>
                      <wps:wsp>
                        <wps:cNvPr id="2" name="Rectángulo 2"/>
                        <wps:cNvSpPr/>
                        <wps:spPr>
                          <a:xfrm>
                            <a:off x="0" y="0"/>
                            <a:ext cx="3296275" cy="1259825"/>
                          </a:xfrm>
                          <a:prstGeom prst="rect">
                            <a:avLst/>
                          </a:prstGeom>
                          <a:noFill/>
                          <a:ln>
                            <a:noFill/>
                          </a:ln>
                        </wps:spPr>
                        <wps:txbx>
                          <w:txbxContent>
                            <w:p w:rsidR="004A0364" w:rsidRDefault="004A0364">
                              <w:pPr>
                                <w:jc w:val="left"/>
                                <w:textDirection w:val="btLr"/>
                              </w:pPr>
                            </w:p>
                          </w:txbxContent>
                        </wps:txbx>
                        <wps:bodyPr spcFirstLastPara="1" wrap="square" lIns="91425" tIns="91425" rIns="91425" bIns="91425" anchor="ctr" anchorCtr="0">
                          <a:noAutofit/>
                        </wps:bodyPr>
                      </wps:wsp>
                      <pic:pic xmlns:pic="http://schemas.openxmlformats.org/drawingml/2006/picture">
                        <pic:nvPicPr>
                          <pic:cNvPr id="4" name="Shape 4"/>
                          <pic:cNvPicPr preferRelativeResize="0"/>
                        </pic:nvPicPr>
                        <pic:blipFill rotWithShape="1">
                          <a:blip r:embed="rId1">
                            <a:alphaModFix/>
                          </a:blip>
                          <a:srcRect l="57098" t="3772" r="24728" b="84161"/>
                          <a:stretch/>
                        </pic:blipFill>
                        <pic:spPr>
                          <a:xfrm>
                            <a:off x="0" y="0"/>
                            <a:ext cx="1409065" cy="1218565"/>
                          </a:xfrm>
                          <a:prstGeom prst="rect">
                            <a:avLst/>
                          </a:prstGeom>
                          <a:noFill/>
                          <a:ln>
                            <a:noFill/>
                          </a:ln>
                        </pic:spPr>
                      </pic:pic>
                      <pic:pic xmlns:pic="http://schemas.openxmlformats.org/drawingml/2006/picture">
                        <pic:nvPicPr>
                          <pic:cNvPr id="5" name="Shape 5"/>
                          <pic:cNvPicPr preferRelativeResize="0"/>
                        </pic:nvPicPr>
                        <pic:blipFill rotWithShape="1">
                          <a:blip r:embed="rId2">
                            <a:alphaModFix/>
                          </a:blip>
                          <a:srcRect/>
                          <a:stretch/>
                        </pic:blipFill>
                        <pic:spPr>
                          <a:xfrm>
                            <a:off x="1266825" y="19050"/>
                            <a:ext cx="2029460" cy="1240790"/>
                          </a:xfrm>
                          <a:prstGeom prst="rect">
                            <a:avLst/>
                          </a:prstGeom>
                          <a:noFill/>
                          <a:ln>
                            <a:noFill/>
                          </a:ln>
                        </pic:spPr>
                      </pic:pic>
                    </wpg:grpSp>
                  </wpg:wg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3215640</wp:posOffset>
              </wp:positionH>
              <wp:positionV relativeFrom="paragraph">
                <wp:posOffset>-504189</wp:posOffset>
              </wp:positionV>
              <wp:extent cx="3296285" cy="1259840"/>
              <wp:effectExtent b="0" l="0" r="0" t="0"/>
              <wp:wrapSquare wrapText="bothSides" distB="0" distT="0" distL="114300" distR="114300"/>
              <wp:docPr id="8" name="image2.png"/>
              <a:graphic>
                <a:graphicData uri="http://schemas.openxmlformats.org/drawingml/2006/picture">
                  <pic:pic>
                    <pic:nvPicPr>
                      <pic:cNvPr id="0" name="image2.png"/>
                      <pic:cNvPicPr preferRelativeResize="0"/>
                    </pic:nvPicPr>
                    <pic:blipFill>
                      <a:blip r:embed="rId3"/>
                      <a:srcRect/>
                      <a:stretch>
                        <a:fillRect/>
                      </a:stretch>
                    </pic:blipFill>
                    <pic:spPr>
                      <a:xfrm>
                        <a:off x="0" y="0"/>
                        <a:ext cx="3296285" cy="1259840"/>
                      </a:xfrm>
                      <a:prstGeom prst="rect"/>
                      <a:ln/>
                    </pic:spPr>
                  </pic:pic>
                </a:graphicData>
              </a:graphic>
            </wp:anchor>
          </w:drawing>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4A60C7"/>
    <w:multiLevelType w:val="multilevel"/>
    <w:tmpl w:val="FD9E27C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0364"/>
    <w:rsid w:val="003E2AF8"/>
    <w:rsid w:val="004A0364"/>
    <w:rsid w:val="00642B46"/>
    <w:rsid w:val="008E3F37"/>
    <w:rsid w:val="00975DB1"/>
    <w:rsid w:val="00DB6A0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11A176"/>
  <w15:docId w15:val="{446D1B93-AFAC-41BA-80B5-868A94EFF7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venir" w:eastAsia="Avenir" w:hAnsi="Avenir" w:cs="Avenir"/>
        <w:sz w:val="24"/>
        <w:szCs w:val="24"/>
        <w:lang w:val="es-MX" w:eastAsia="es-MX"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80" w:after="120"/>
      <w:outlineLvl w:val="0"/>
    </w:pPr>
    <w:rPr>
      <w:b/>
      <w:bCs/>
      <w:sz w:val="48"/>
      <w:szCs w:val="48"/>
    </w:rPr>
  </w:style>
  <w:style w:type="paragraph" w:styleId="Ttulo2">
    <w:name w:val="heading 2"/>
    <w:basedOn w:val="Normal"/>
    <w:next w:val="Normal"/>
    <w:pPr>
      <w:keepNext/>
      <w:keepLines/>
      <w:spacing w:before="360" w:after="80"/>
      <w:outlineLvl w:val="1"/>
    </w:pPr>
    <w:rPr>
      <w:b/>
      <w:bCs/>
      <w:sz w:val="36"/>
      <w:szCs w:val="36"/>
    </w:rPr>
  </w:style>
  <w:style w:type="paragraph" w:styleId="Ttulo3">
    <w:name w:val="heading 3"/>
    <w:basedOn w:val="Normal"/>
    <w:next w:val="Normal"/>
    <w:pPr>
      <w:keepNext/>
      <w:keepLines/>
      <w:spacing w:before="280" w:after="80"/>
      <w:outlineLvl w:val="2"/>
    </w:pPr>
    <w:rPr>
      <w:b/>
      <w:bCs/>
      <w:sz w:val="28"/>
      <w:szCs w:val="28"/>
    </w:rPr>
  </w:style>
  <w:style w:type="paragraph" w:styleId="Ttulo4">
    <w:name w:val="heading 4"/>
    <w:basedOn w:val="Normal"/>
    <w:next w:val="Normal"/>
    <w:pPr>
      <w:keepNext/>
      <w:keepLines/>
      <w:spacing w:before="240" w:after="40"/>
      <w:outlineLvl w:val="3"/>
    </w:pPr>
    <w:rPr>
      <w:b/>
      <w:bCs/>
    </w:rPr>
  </w:style>
  <w:style w:type="paragraph" w:styleId="Ttulo5">
    <w:name w:val="heading 5"/>
    <w:basedOn w:val="Normal"/>
    <w:next w:val="Normal"/>
    <w:pPr>
      <w:keepNext/>
      <w:keepLines/>
      <w:spacing w:before="220" w:after="40"/>
      <w:outlineLvl w:val="4"/>
    </w:pPr>
    <w:rPr>
      <w:b/>
      <w:bCs/>
      <w:sz w:val="22"/>
      <w:szCs w:val="22"/>
    </w:rPr>
  </w:style>
  <w:style w:type="paragraph" w:styleId="Ttulo6">
    <w:name w:val="heading 6"/>
    <w:basedOn w:val="Normal"/>
    <w:next w:val="Normal"/>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pPr>
      <w:keepNext/>
      <w:keepLines/>
      <w:spacing w:before="480" w:after="120"/>
    </w:pPr>
    <w:rPr>
      <w:b/>
      <w:bCs/>
      <w:sz w:val="72"/>
      <w:szCs w:val="72"/>
    </w:rPr>
  </w:style>
  <w:style w:type="paragraph" w:styleId="Encabezado">
    <w:name w:val="header"/>
    <w:basedOn w:val="Normal"/>
    <w:link w:val="EncabezadoCar"/>
    <w:uiPriority w:val="99"/>
    <w:unhideWhenUsed/>
    <w:rsid w:val="009831A4"/>
    <w:pPr>
      <w:tabs>
        <w:tab w:val="center" w:pos="4419"/>
        <w:tab w:val="right" w:pos="8838"/>
      </w:tabs>
    </w:pPr>
  </w:style>
  <w:style w:type="character" w:customStyle="1" w:styleId="EncabezadoCar">
    <w:name w:val="Encabezado Car"/>
    <w:basedOn w:val="Fuentedeprrafopredeter"/>
    <w:link w:val="Encabezado"/>
    <w:uiPriority w:val="99"/>
    <w:rsid w:val="009831A4"/>
  </w:style>
  <w:style w:type="paragraph" w:styleId="Piedepgina">
    <w:name w:val="footer"/>
    <w:basedOn w:val="Normal"/>
    <w:link w:val="PiedepginaCar"/>
    <w:uiPriority w:val="99"/>
    <w:unhideWhenUsed/>
    <w:rsid w:val="009831A4"/>
    <w:pPr>
      <w:tabs>
        <w:tab w:val="center" w:pos="4419"/>
        <w:tab w:val="right" w:pos="8838"/>
      </w:tabs>
    </w:pPr>
  </w:style>
  <w:style w:type="character" w:customStyle="1" w:styleId="PiedepginaCar">
    <w:name w:val="Pie de página Car"/>
    <w:basedOn w:val="Fuentedeprrafopredeter"/>
    <w:link w:val="Piedepgina"/>
    <w:uiPriority w:val="99"/>
    <w:rsid w:val="009831A4"/>
  </w:style>
  <w:style w:type="paragraph" w:styleId="Prrafodelista">
    <w:name w:val="List Paragraph"/>
    <w:basedOn w:val="Normal"/>
    <w:uiPriority w:val="34"/>
    <w:qFormat/>
    <w:rsid w:val="009831A4"/>
    <w:pPr>
      <w:spacing w:after="160" w:line="259" w:lineRule="auto"/>
      <w:ind w:left="720"/>
      <w:contextualSpacing/>
    </w:pPr>
    <w:rPr>
      <w:rFonts w:ascii="Calibri" w:eastAsia="Calibri" w:hAnsi="Calibri"/>
      <w:sz w:val="22"/>
      <w:szCs w:val="22"/>
    </w:rPr>
  </w:style>
  <w:style w:type="paragraph" w:customStyle="1" w:styleId="NewsSubtitle">
    <w:name w:val="News Subtitle"/>
    <w:basedOn w:val="Normal"/>
    <w:uiPriority w:val="9"/>
    <w:qFormat/>
    <w:rsid w:val="0065381D"/>
    <w:pPr>
      <w:suppressAutoHyphens/>
      <w:spacing w:line="280" w:lineRule="atLeast"/>
      <w:jc w:val="left"/>
      <w:outlineLvl w:val="1"/>
    </w:pPr>
    <w:rPr>
      <w:rFonts w:ascii="Calibri" w:eastAsiaTheme="minorEastAsia" w:hAnsi="Calibri" w:cstheme="minorBidi"/>
      <w:b/>
      <w:bCs/>
      <w:caps/>
      <w:sz w:val="22"/>
      <w:szCs w:val="22"/>
      <w:lang w:eastAsia="ja-JP"/>
    </w:rPr>
  </w:style>
  <w:style w:type="paragraph" w:customStyle="1" w:styleId="p1">
    <w:name w:val="p1"/>
    <w:basedOn w:val="Normal"/>
    <w:rsid w:val="009E6A4F"/>
    <w:pPr>
      <w:jc w:val="left"/>
    </w:pPr>
    <w:rPr>
      <w:rFonts w:ascii="Helvetica" w:eastAsiaTheme="minorEastAsia" w:hAnsi="Helvetica" w:cs="Times New Roman"/>
      <w:sz w:val="18"/>
      <w:szCs w:val="18"/>
    </w:rPr>
  </w:style>
  <w:style w:type="character" w:customStyle="1" w:styleId="s1">
    <w:name w:val="s1"/>
    <w:basedOn w:val="Fuentedeprrafopredeter"/>
    <w:rsid w:val="009E6A4F"/>
    <w:rPr>
      <w:rFonts w:ascii="Helvetica" w:hAnsi="Helvetica" w:hint="default"/>
      <w:b w:val="0"/>
      <w:bCs w:val="0"/>
      <w:i w:val="0"/>
      <w:iCs w:val="0"/>
      <w:sz w:val="18"/>
      <w:szCs w:val="18"/>
    </w:rPr>
  </w:style>
  <w:style w:type="paragraph" w:styleId="Subttulo">
    <w:name w:val="Subtitle"/>
    <w:basedOn w:val="Normal"/>
    <w:next w:val="Normal"/>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3" Type="http://schemas.openxmlformats.org/officeDocument/2006/relationships/image" Target="media/image20.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9xgalhLjbbRb2F/neI/JqRw14NQ==">CgMxLjA4AHIhMXFSMHByTklJV2xySnpqSGZNdWhVcGlNeW9UdUstWU1Y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1589</Words>
  <Characters>8741</Characters>
  <Application>Microsoft Office Word</Application>
  <DocSecurity>0</DocSecurity>
  <Lines>72</Lines>
  <Paragraphs>20</Paragraphs>
  <ScaleCrop>false</ScaleCrop>
  <Company/>
  <LinksUpToDate>false</LinksUpToDate>
  <CharactersWithSpaces>10310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Espinosa Esparza, Alberto</dc:creator>
  <cp:lastModifiedBy>Espinoza Arvizu, Perla Yadira</cp:lastModifiedBy>
  <cp:revision>11</cp:revision>
  <dcterms:created xsi:type="dcterms:W3CDTF">2026-10-01T16:49:00Z</dcterms:created>
  <dcterms:modified xsi:type="dcterms:W3CDTF">2026-10-01T19:04:00Z</dcterms:modified>
</cp:coreProperties>
</file>