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footer2.xml" ContentType="application/vnd.openxmlformats-officedocument.wordprocessingml.footer+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14:paraId="4837D203">
      <w:pPr>
        <w:pStyle w:val="style0"/>
        <w:rPr>
          <w:b/>
          <w:bCs/>
          <w:sz w:val="26"/>
          <w:szCs w:val="26"/>
        </w:rPr>
      </w:pPr>
    </w:p>
    <w:p w14:paraId="5961008F">
      <w:pPr>
        <w:pStyle w:val="style0"/>
        <w:jc w:val="right"/>
        <w:rPr>
          <w:bCs/>
          <w:sz w:val="22"/>
          <w:szCs w:val="22"/>
        </w:rPr>
      </w:pPr>
      <w:r>
        <w:rPr>
          <w:bCs/>
          <w:sz w:val="22"/>
          <w:szCs w:val="22"/>
        </w:rPr>
        <w:t>Querétaro, Qro.,</w:t>
      </w:r>
      <w:r>
        <w:rPr>
          <w:bCs/>
          <w:sz w:val="22"/>
          <w:szCs w:val="22"/>
        </w:rPr>
        <w:t xml:space="preserve"> </w:t>
      </w:r>
      <w:r>
        <w:rPr>
          <w:bCs/>
          <w:sz w:val="22"/>
          <w:szCs w:val="22"/>
        </w:rPr>
        <w:t>2</w:t>
      </w:r>
      <w:r>
        <w:rPr>
          <w:bCs/>
          <w:sz w:val="22"/>
          <w:szCs w:val="22"/>
        </w:rPr>
        <w:t xml:space="preserve"> </w:t>
      </w:r>
      <w:r>
        <w:rPr>
          <w:bCs/>
          <w:sz w:val="22"/>
          <w:szCs w:val="22"/>
        </w:rPr>
        <w:t>de</w:t>
      </w:r>
      <w:r>
        <w:rPr>
          <w:bCs/>
          <w:sz w:val="22"/>
          <w:szCs w:val="22"/>
        </w:rPr>
        <w:t xml:space="preserve"> </w:t>
      </w:r>
      <w:r>
        <w:rPr>
          <w:bCs/>
          <w:sz w:val="22"/>
          <w:szCs w:val="22"/>
        </w:rPr>
        <w:t>octubre</w:t>
      </w:r>
      <w:r>
        <w:rPr>
          <w:bCs/>
          <w:sz w:val="22"/>
          <w:szCs w:val="22"/>
        </w:rPr>
        <w:t xml:space="preserve"> </w:t>
      </w:r>
      <w:r>
        <w:rPr>
          <w:bCs/>
          <w:sz w:val="22"/>
          <w:szCs w:val="22"/>
        </w:rPr>
        <w:t>de 202</w:t>
      </w:r>
      <w:r>
        <w:rPr>
          <w:bCs/>
          <w:sz w:val="22"/>
          <w:szCs w:val="22"/>
        </w:rPr>
        <w:t>6</w:t>
      </w:r>
    </w:p>
    <w:p w14:paraId="260C3A86">
      <w:pPr>
        <w:pStyle w:val="style0"/>
        <w:jc w:val="right"/>
        <w:rPr>
          <w:bCs/>
          <w:sz w:val="22"/>
          <w:szCs w:val="22"/>
        </w:rPr>
      </w:pPr>
    </w:p>
    <w:p w14:paraId="738DAFF0">
      <w:pPr>
        <w:pStyle w:val="style0"/>
        <w:jc w:val="right"/>
        <w:rPr>
          <w:bCs/>
          <w:sz w:val="22"/>
          <w:szCs w:val="22"/>
        </w:rPr>
      </w:pPr>
    </w:p>
    <w:p w14:paraId="58C1D180">
      <w:pPr>
        <w:pStyle w:val="style0"/>
        <w:jc w:val="center"/>
        <w:rPr>
          <w:b/>
          <w:bCs/>
          <w:sz w:val="26"/>
          <w:szCs w:val="26"/>
        </w:rPr>
      </w:pPr>
      <w:r>
        <w:rPr>
          <w:b/>
          <w:bCs/>
          <w:sz w:val="26"/>
          <w:szCs w:val="26"/>
        </w:rPr>
        <w:t xml:space="preserve">BOLETÍN </w:t>
      </w:r>
      <w:r>
        <w:rPr>
          <w:b/>
          <w:bCs/>
          <w:sz w:val="26"/>
          <w:szCs w:val="26"/>
        </w:rPr>
        <w:t xml:space="preserve">SESA </w:t>
      </w:r>
      <w:r>
        <w:rPr>
          <w:b/>
          <w:bCs/>
          <w:sz w:val="26"/>
          <w:szCs w:val="26"/>
        </w:rPr>
        <w:t>40</w:t>
      </w:r>
      <w:r>
        <w:rPr>
          <w:b/>
          <w:bCs/>
          <w:sz w:val="26"/>
          <w:szCs w:val="26"/>
        </w:rPr>
        <w:t>7</w:t>
      </w:r>
      <w:r>
        <w:rPr>
          <w:b/>
          <w:bCs/>
          <w:sz w:val="26"/>
          <w:szCs w:val="26"/>
        </w:rPr>
        <w:t>/2</w:t>
      </w:r>
      <w:r>
        <w:rPr>
          <w:b/>
          <w:bCs/>
          <w:sz w:val="26"/>
          <w:szCs w:val="26"/>
        </w:rPr>
        <w:t>6</w:t>
      </w:r>
    </w:p>
    <w:p w14:paraId="709A804F">
      <w:pPr>
        <w:pStyle w:val="style0"/>
        <w:jc w:val="center"/>
        <w:rPr>
          <w:b/>
          <w:bCs/>
          <w:sz w:val="26"/>
          <w:szCs w:val="26"/>
        </w:rPr>
      </w:pPr>
    </w:p>
    <w:p w14:paraId="6FA03BC7">
      <w:pPr>
        <w:pStyle w:val="style0"/>
        <w:jc w:val="center"/>
        <w:rPr>
          <w:b/>
          <w:bCs/>
          <w:sz w:val="26"/>
          <w:szCs w:val="26"/>
        </w:rPr>
      </w:pPr>
      <w:r>
        <w:rPr>
          <w:b/>
          <w:bCs/>
          <w:sz w:val="26"/>
          <w:szCs w:val="26"/>
        </w:rPr>
        <w:t>SESA Querétaro fortalece los servicios de salud con los Protocolos Nacionales de Atención Médica</w:t>
      </w:r>
    </w:p>
    <w:p w14:paraId="1B51FE7B">
      <w:pPr>
        <w:pStyle w:val="style0"/>
        <w:jc w:val="center"/>
        <w:rPr>
          <w:b/>
          <w:bCs/>
          <w:sz w:val="26"/>
          <w:szCs w:val="26"/>
        </w:rPr>
      </w:pPr>
    </w:p>
    <w:p w14:paraId="71223C66">
      <w:pPr>
        <w:pStyle w:val="style179"/>
        <w:numPr>
          <w:ilvl w:val="0"/>
          <w:numId w:val="1"/>
        </w:numPr>
        <w:spacing w:after="0" w:lineRule="auto" w:line="240"/>
        <w:ind w:left="714" w:hanging="357"/>
        <w:rPr>
          <w:rFonts w:ascii="Avenir" w:hAnsi="Avenir"/>
        </w:rPr>
      </w:pPr>
      <w:r>
        <w:rPr>
          <w:rFonts w:ascii="Avenir" w:hAnsi="Avenir"/>
        </w:rPr>
        <w:t xml:space="preserve">Se presentaron diez protocolos sobre enfermedades crónicas, vacunación, primeros </w:t>
      </w:r>
      <w:r>
        <w:rPr>
          <w:rFonts w:ascii="Avenir" w:hAnsi="Avenir"/>
        </w:rPr>
        <w:t xml:space="preserve">mil </w:t>
      </w:r>
      <w:r>
        <w:rPr>
          <w:rFonts w:ascii="Avenir" w:hAnsi="Avenir"/>
        </w:rPr>
        <w:t>días de vida y cáncer infantil, entre otros temas.</w:t>
      </w:r>
    </w:p>
    <w:p w14:paraId="5D11F793">
      <w:pPr>
        <w:pStyle w:val="style179"/>
        <w:numPr>
          <w:ilvl w:val="0"/>
          <w:numId w:val="1"/>
        </w:numPr>
        <w:spacing w:after="0" w:lineRule="auto" w:line="240"/>
        <w:ind w:left="714" w:hanging="357"/>
        <w:rPr>
          <w:rFonts w:ascii="Avenir" w:hAnsi="Avenir"/>
        </w:rPr>
      </w:pPr>
      <w:r>
        <w:rPr>
          <w:rFonts w:ascii="Avenir" w:hAnsi="Avenir"/>
        </w:rPr>
        <w:t>Su aplicación beneficia la atención que se brinda en los 198 Centros de Salud y mediante las Unidades Médicas Móviles.</w:t>
      </w:r>
    </w:p>
    <w:p w14:paraId="7D2E596B">
      <w:pPr>
        <w:pStyle w:val="style0"/>
        <w:rPr/>
      </w:pPr>
    </w:p>
    <w:p w14:paraId="10A3C793">
      <w:pPr>
        <w:pStyle w:val="style0"/>
        <w:rPr/>
      </w:pPr>
      <w:r>
        <w:t>La titular de la Secretaría de Salud (SESA) del estado de Querétaro, María Martina Pérez Rendón, presidió el evento académico “Protocolos Nacionales de Atención Médica (PRONAM)”, realizado en el auditorio del Hospital General de Querétaro, cuyo propósito fue analizar la Estrategia Nacional de Integración de los PRONAM, impulsada por el Consejo de Salubridad General para fortalecer la atención médica y favorecer mejores oportunidades de diagnóstico y tratamiento para la población.</w:t>
      </w:r>
    </w:p>
    <w:p w14:paraId="136A1F38">
      <w:pPr>
        <w:pStyle w:val="style0"/>
        <w:rPr/>
      </w:pPr>
    </w:p>
    <w:p w14:paraId="123032DD">
      <w:pPr>
        <w:pStyle w:val="style0"/>
        <w:rPr/>
      </w:pPr>
      <w:r>
        <w:t xml:space="preserve">Durante el encuentro, la </w:t>
      </w:r>
      <w:r>
        <w:rPr>
          <w:lang w:val="en-US"/>
        </w:rPr>
        <w:t>S</w:t>
      </w:r>
      <w:r>
        <w:t>ecretaria de Salud dio la bienvenida a la secretaria del Consejo de Salubridad General, Patricia Clark Peralta, y reconoció su participación para compartir con el personal de salud la estrategia nacional de los PRONAM, que ofrece criterios y herramientas para avanzar hacia una práctica clínica ordenada, homogénea y sustentada en la mejor evidencia disponible. Destacó que estos protocolos constituyen una herramienta para contar con referentes nacionales en la atención de distintas condiciones de salud y contribuir a que las decisiones clínicas se tomen con mayor certeza, oportunidad y calidad.</w:t>
      </w:r>
    </w:p>
    <w:p w14:paraId="5E1C14C9">
      <w:pPr>
        <w:pStyle w:val="style0"/>
        <w:rPr/>
      </w:pPr>
    </w:p>
    <w:p w14:paraId="4D12E956">
      <w:pPr>
        <w:pStyle w:val="style0"/>
        <w:rPr/>
      </w:pPr>
      <w:r>
        <w:t xml:space="preserve">Pérez Rendón señaló que la aplicación de los </w:t>
      </w:r>
      <w:r>
        <w:t xml:space="preserve">Protocolos </w:t>
      </w:r>
      <w:r>
        <w:t>cobra especial importancia en el primer nivel de atención, donde se brinda atención a la población en los 198 Centros de Salud de Querétaro y a través de las Unidades Médicas Móviles. Explicó que contar con criterios comunes permite fortalecer el trabajo del personal de salud, favorecer la detección y atención de padecimientos y ofrecer a las y los pacientes un manejo integral con base en referentes nacionales.</w:t>
      </w:r>
    </w:p>
    <w:p w14:paraId="2DA71EDF">
      <w:pPr>
        <w:pStyle w:val="style0"/>
        <w:rPr/>
      </w:pPr>
    </w:p>
    <w:p w14:paraId="74C13B3E">
      <w:pPr>
        <w:pStyle w:val="style0"/>
        <w:rPr/>
      </w:pPr>
      <w:r>
        <w:t xml:space="preserve">Resaltó también </w:t>
      </w:r>
      <w:r>
        <w:t>que este encuentro representa un espacio para adquirir conocimientos, compartir experiencias y fortalecer la coordinación entre las instituciones y profesionales que tienen una responsabilidad común: cuidar la salud de las y los queretanos. Añadió que la estrategia busca contribuir a una atención equitativa e integral, con criterios que puedan aplicarse en los distintos servicios del sector salud.</w:t>
      </w:r>
    </w:p>
    <w:p w14:paraId="7DE39BB9">
      <w:pPr>
        <w:pStyle w:val="style0"/>
        <w:rPr/>
      </w:pPr>
    </w:p>
    <w:p w14:paraId="570771E7">
      <w:pPr>
        <w:pStyle w:val="style0"/>
        <w:rPr/>
      </w:pPr>
      <w:r>
        <w:t xml:space="preserve">A su vez, la </w:t>
      </w:r>
      <w:r>
        <w:t xml:space="preserve">secretaria del Consejo de Salubridad General, Patricia Clark Peralta, explicó que los Protocolos Nacionales de Atención Médica forman parte de una política dirigida a fortalecer el primer nivel de atención y colocar a las personas en el centro de los servicios de salud. </w:t>
      </w:r>
    </w:p>
    <w:p w14:paraId="968852BA">
      <w:pPr>
        <w:pStyle w:val="style0"/>
        <w:rPr/>
      </w:pPr>
    </w:p>
    <w:p w14:paraId="0C41E1B8">
      <w:pPr>
        <w:pStyle w:val="style0"/>
        <w:rPr/>
      </w:pPr>
      <w:r>
        <w:t xml:space="preserve">Informó que, hasta el momento, se cuenta con diez protocolos: Diabetes Tipo 2 y Síndrome Metabólico; Enfermedad Renal Crónica; Obesidad y Sobrepeso; Hipertensión Arterial Sistémica; Los Primeros </w:t>
      </w:r>
      <w:r>
        <w:t xml:space="preserve">mil </w:t>
      </w:r>
      <w:r>
        <w:t>días de Vida; Vacunación a lo largo de la vida; Diagnóstico Temprano de Cáncer en niñas, niños y adolescentes; Retinoblastoma; Linfoma de Hodgkin en niñas, niños y adolescentes; y Leucemia Linfoblástica Aguda en niñas, niños y adolescentes.</w:t>
      </w:r>
    </w:p>
    <w:p w14:paraId="25DB494B">
      <w:pPr>
        <w:pStyle w:val="style0"/>
        <w:rPr/>
      </w:pPr>
    </w:p>
    <w:p w14:paraId="15A30AD9">
      <w:pPr>
        <w:pStyle w:val="style0"/>
        <w:rPr/>
      </w:pPr>
      <w:r>
        <w:t>C</w:t>
      </w:r>
      <w:r>
        <w:t>omo parte del evento académico, responsables estatales y jefes de departamento de Servicios de Salud del Estado de Querétaro (SESEQ</w:t>
      </w:r>
      <w:r>
        <w:rPr>
          <w:lang w:val="en-US"/>
        </w:rPr>
        <w:t>)</w:t>
      </w:r>
      <w:r>
        <w:t>,</w:t>
      </w:r>
      <w:r>
        <w:t xml:space="preserve"> presentaron los contenidos de cada uno de los protocolos al personal participante de las cuatro Jurisdicciones Sanitarias y de los cinco hospitales. Con estas acciones se busca fortalecer las capacidades del personal y favorecer una atención con criterios compartidos en las unidades de salud.</w:t>
      </w:r>
    </w:p>
    <w:p w14:paraId="496D1D63">
      <w:pPr>
        <w:pStyle w:val="style0"/>
        <w:rPr/>
      </w:pPr>
    </w:p>
    <w:p w14:paraId="6868A715">
      <w:pPr>
        <w:pStyle w:val="style0"/>
        <w:rPr/>
      </w:pPr>
      <w:r>
        <w:t>En el encuentro participaron la delegada del IMSS en Querétaro, Martha Eloísa Sánchez Vásquez; el presidente del Colegio Médico de Querétaro, Francisco León Salazar; el subcoordinador General Médico de SESEQ, Francisco José Rivera Pesquera; el secretario General de la Sección 32 del SNTSA, Edgar Germán Gómez López; la presidenta del Colegio de Enfermeras Profesionistas en Querétaro A.C., María Teodora Olvera Trejo; el representante del Clúster Médico de Querétaro, Edgar Mohar, así como otras personalidades del sector salud.</w:t>
      </w:r>
    </w:p>
    <w:p w14:paraId="15B4C482">
      <w:pPr>
        <w:pStyle w:val="style0"/>
        <w:rPr/>
      </w:pPr>
    </w:p>
    <w:sectPr>
      <w:headerReference w:type="default" r:id="rId2"/>
      <w:footerReference w:type="default" r:id="rId3"/>
      <w:pgSz w:w="12240" w:h="15840" w:orient="portrait"/>
      <w:pgMar w:top="1985" w:right="1467" w:bottom="1417" w:left="1843" w:header="794" w:footer="56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007020507"/>
    <w:charset w:val="02"/>
    <w:family w:val="decorative"/>
    <w:pitch w:val="variable"/>
    <w:sig w:usb0="00000000" w:usb1="10000000" w:usb2="00000000" w:usb3="00000000" w:csb0="80000000" w:csb1="00000000"/>
  </w:font>
  <w:font w:name="Times New Roman">
    <w:altName w:val="Times New Roman"/>
    <w:panose1 w:val="02020603050004020304"/>
    <w:charset w:val="00"/>
    <w:family w:val="roman"/>
    <w:pitch w:val="variable"/>
    <w:sig w:usb0="E0002EFF" w:usb1="C000785B" w:usb2="00000009" w:usb3="00000000" w:csb0="000001FF" w:csb1="00000000"/>
  </w:font>
  <w:font w:name="Courier New">
    <w:altName w:val="Courier New"/>
    <w:panose1 w:val="02070309020002020404"/>
    <w:charset w:val="00"/>
    <w:family w:val="modern"/>
    <w:pitch w:val="fixed"/>
    <w:sig w:usb0="E0002EFF" w:usb1="C0007843" w:usb2="00000009" w:usb3="00000000" w:csb0="000001FF" w:csb1="00000000"/>
  </w:font>
  <w:font w:name="Wingdings">
    <w:altName w:val="Wingdings"/>
    <w:panose1 w:val="05000000000000000000"/>
    <w:charset w:val="4d"/>
    <w:family w:val="decorative"/>
    <w:pitch w:val="variable"/>
    <w:sig w:usb0="00000003" w:usb1="00000000" w:usb2="00000000" w:usb3="00000000" w:csb0="80000001" w:csb1="00000000"/>
  </w:font>
  <w:font w:name="Avenir">
    <w:altName w:val="Calibri"/>
    <w:panose1 w:val="02000503020000020003"/>
    <w:charset w:val="4d"/>
    <w:family w:val="swiss"/>
    <w:pitch w:val="variable"/>
    <w:sig w:usb0="800000AF" w:usb1="5000204A" w:usb2="00000000" w:usb3="00000000" w:csb0="0000009B" w:csb1="00000000"/>
  </w:font>
  <w:font w:name="SimSun">
    <w:altName w:val="宋体"/>
    <w:panose1 w:val="02010600030001010101"/>
    <w:charset w:val="86"/>
    <w:family w:val="auto"/>
    <w:pitch w:val="variable"/>
    <w:sig w:usb0="00000203" w:usb1="288F0000" w:usb2="00000016" w:usb3="00000000" w:csb0="00040001" w:csb1="00000000"/>
  </w:font>
  <w:font w:name="Arial">
    <w:altName w:val="Arial"/>
    <w:panose1 w:val="020b0604020002020204"/>
    <w:charset w:val="00"/>
    <w:family w:val="swiss"/>
    <w:pitch w:val="variable"/>
    <w:sig w:usb0="E0002EFF" w:usb1="C000785B" w:usb2="00000009" w:usb3="00000000" w:csb0="000001FF" w:csb1="00000000"/>
  </w:font>
  <w:font w:name="Calibri">
    <w:altName w:val="Calibri"/>
    <w:panose1 w:val="020f0502020002030204"/>
    <w:charset w:val="00"/>
    <w:family w:val="swiss"/>
    <w:pitch w:val="variable"/>
    <w:sig w:usb0="E4002EFF" w:usb1="C200247B" w:usb2="00000009" w:usb3="00000000" w:csb0="000001FF" w:csb1="00000000"/>
  </w:font>
  <w:font w:name="Segoe UI">
    <w:altName w:val="Segoe UI"/>
    <w:panose1 w:val="020b0502040002020203"/>
    <w:charset w:val="00"/>
    <w:family w:val="swiss"/>
    <w:pitch w:val="variable"/>
    <w:sig w:usb0="E4002EFF" w:usb1="C000E47F" w:usb2="00000009" w:usb3="00000000" w:csb0="000001FF" w:csb1="00000000"/>
  </w:font>
  <w:font w:name="Cambria">
    <w:altName w:val="Cambria"/>
    <w:panose1 w:val="02040503050004030204"/>
    <w:charset w:val="00"/>
    <w:family w:val="roman"/>
    <w:pitch w:val="variable"/>
    <w:sig w:usb0="E00006FF" w:usb1="420024FF" w:usb2="02000000" w:usb3="00000000" w:csb0="0000019F" w:csb1="00000000"/>
  </w:font>
  <w:font w:name="MS Mincho">
    <w:altName w:val="ＭＳ 明朝"/>
    <w:panose1 w:val="02020609040002080304"/>
    <w:charset w:val="80"/>
    <w:family w:val="modern"/>
    <w:pitch w:val="fixed"/>
    <w:sig w:usb0="E00002FF" w:usb1="6AC7FDFB" w:usb2="08000012" w:usb3="00000000" w:csb0="0002009F" w:csb1="00000000"/>
  </w:font>
  <w:font w:name="Noto Sans">
    <w:altName w:val="Noto Sans"/>
    <w:panose1 w:val="020b0502040005020204"/>
    <w:charset w:val="00"/>
    <w:family w:val="swiss"/>
    <w:pitch w:val="variable"/>
    <w:sig w:usb0="E00082FF" w:usb1="400078FF" w:usb2="00000021" w:usb3="00000000" w:csb0="0000019F" w:csb1="00000000"/>
  </w:font>
  <w:font w:name="Calibri Light">
    <w:altName w:val="Calibri Light"/>
    <w:panose1 w:val="020f0302020002030204"/>
    <w:charset w:val="00"/>
    <w:family w:val="swiss"/>
    <w:pitch w:val="variable"/>
    <w:sig w:usb0="E4002EFF" w:usb1="C200247B" w:usb2="00000009" w:usb3="00000000" w:csb0="000001FF" w:csb1="00000000"/>
  </w:font>
</w:fonts>
</file>

<file path=word/footer2.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7EB8E623">
    <w:pPr>
      <w:pStyle w:val="style32"/>
      <w:rPr/>
    </w:pPr>
    <w:r>
      <w:rPr>
        <w:noProof/>
        <w:lang w:eastAsia="es-MX"/>
      </w:rPr>
      <w:drawing>
        <wp:anchor distT="0" distB="0" distL="0" distR="0" simplePos="false" relativeHeight="2" behindDoc="true" locked="false" layoutInCell="true" allowOverlap="true">
          <wp:simplePos x="0" y="0"/>
          <wp:positionH relativeFrom="page">
            <wp:align>right</wp:align>
          </wp:positionH>
          <wp:positionV relativeFrom="paragraph">
            <wp:posOffset>-476249</wp:posOffset>
          </wp:positionV>
          <wp:extent cx="3067050" cy="1085850"/>
          <wp:effectExtent l="0" t="0" r="0" b="0"/>
          <wp:wrapNone/>
          <wp:docPr id="4100" name="Imagen 2115392682"/>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2" name="Imagen 2115392682"/>
                  <pic:cNvPicPr/>
                </pic:nvPicPr>
                <pic:blipFill>
                  <a:blip r:embed="rId1" cstate="print"/>
                  <a:srcRect l="57961" t="86172" r="2497" b="3080"/>
                  <a:stretch/>
                </pic:blipFill>
                <pic:spPr>
                  <a:xfrm rot="0">
                    <a:off x="0" y="0"/>
                    <a:ext cx="3067050" cy="1085850"/>
                  </a:xfrm>
                  <a:prstGeom prst="rect"/>
                  <a:ln>
                    <a:noFill/>
                  </a:ln>
                </pic:spPr>
              </pic:pic>
            </a:graphicData>
          </a:graphic>
          <wp14:sizeRelH relativeFrom="margin">
            <wp14:pctWidth>0</wp14:pctWidth>
          </wp14:sizeRelH>
          <wp14:sizeRelV relativeFrom="margin">
            <wp14:pctHeight>0</wp14:pctHeight>
          </wp14:sizeRelV>
        </wp:anchor>
      </w:drawing>
    </w:r>
  </w:p>
</w:ftr>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0811F287">
    <w:pPr>
      <w:pStyle w:val="style31"/>
      <w:rPr/>
    </w:pPr>
    <w:r>
      <w:rPr>
        <w:noProof/>
        <w:lang w:eastAsia="es-MX"/>
      </w:rPr>
      <mc:AlternateContent>
        <mc:Choice Requires="wpg">
          <w:drawing>
            <wp:anchor distT="0" distB="0" distL="114300" distR="114300" simplePos="false" relativeHeight="3" behindDoc="false" locked="false" layoutInCell="true" allowOverlap="true">
              <wp:simplePos x="0" y="0"/>
              <wp:positionH relativeFrom="column">
                <wp:posOffset>3215640</wp:posOffset>
              </wp:positionH>
              <wp:positionV relativeFrom="paragraph">
                <wp:posOffset>-504189</wp:posOffset>
              </wp:positionV>
              <wp:extent cx="3296285" cy="1259840"/>
              <wp:effectExtent l="0" t="0" r="0" b="0"/>
              <wp:wrapThrough wrapText="bothSides">
                <wp:wrapPolygon edited="false">
                  <wp:start x="8613" y="1960"/>
                  <wp:lineTo x="3121" y="2613"/>
                  <wp:lineTo x="2621" y="2940"/>
                  <wp:lineTo x="2746" y="10452"/>
                  <wp:lineTo x="2871" y="13065"/>
                  <wp:lineTo x="2122" y="15677"/>
                  <wp:lineTo x="2122" y="18290"/>
                  <wp:lineTo x="2996" y="18944"/>
                  <wp:lineTo x="9238" y="18944"/>
                  <wp:lineTo x="11484" y="18290"/>
                  <wp:lineTo x="19224" y="14371"/>
                  <wp:lineTo x="19224" y="13065"/>
                  <wp:lineTo x="20098" y="7512"/>
                  <wp:lineTo x="14855" y="5226"/>
                  <wp:lineTo x="9238" y="1960"/>
                  <wp:lineTo x="8613" y="1960"/>
                </wp:wrapPolygon>
              </wp:wrapThrough>
              <wp:docPr id="4097" name="Grupo 3"/>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Group">
                  <wpg:wgp>
                    <wpg:cNvGrpSpPr/>
                    <wpg:grpSpPr>
                      <a:xfrm rot="0">
                        <a:off x="0" y="0"/>
                        <a:ext cx="3296285" cy="1259840"/>
                        <a:chOff x="0" y="0"/>
                        <a:chExt cx="3296285" cy="1259840"/>
                      </a:xfrm>
                    </wpg:grpSpPr>
                    <pic:pic xmlns:pic="http://schemas.openxmlformats.org/drawingml/2006/picture">
                      <pic:nvPicPr>
                        <pic:cNvPr id="0" name="Image"/>
                        <pic:cNvPicPr/>
                      </pic:nvPicPr>
                      <pic:blipFill>
                        <a:blip r:embed="rId1" cstate="print"/>
                        <a:srcRect l="57098" t="3772" r="24728" b="84161"/>
                        <a:stretch/>
                      </pic:blipFill>
                      <pic:spPr>
                        <a:xfrm rot="0">
                          <a:off x="0" y="0"/>
                          <a:ext cx="1409065" cy="1218565"/>
                        </a:xfrm>
                        <a:prstGeom prst="rect"/>
                        <a:ln>
                          <a:noFill/>
                        </a:ln>
                      </pic:spPr>
                    </pic:pic>
                    <pic:pic xmlns:pic="http://schemas.openxmlformats.org/drawingml/2006/picture">
                      <pic:nvPicPr>
                        <pic:cNvPr id="1" name="Image"/>
                        <pic:cNvPicPr/>
                      </pic:nvPicPr>
                      <pic:blipFill>
                        <a:blip r:embed="rId2" cstate="print"/>
                        <a:srcRect l="0" t="0" r="0" b="0"/>
                        <a:stretch/>
                      </pic:blipFill>
                      <pic:spPr>
                        <a:xfrm rot="0">
                          <a:off x="1266825" y="19050"/>
                          <a:ext cx="2029460" cy="1240790"/>
                        </a:xfrm>
                        <a:prstGeom prst="rect"/>
                      </pic:spPr>
                    </pic:pic>
                  </wpg:wgp>
                </a:graphicData>
              </a:graphic>
            </wp:anchor>
          </w:drawing>
        </mc:Choice>
        <mc:Fallback>
          <w:pict>
            <v:group id="4097" filled="f" stroked="f" style="position:absolute;margin-left:253.2pt;margin-top:-39.7pt;width:259.55pt;height:99.2pt;z-index:3;mso-position-horizontal-relative:text;mso-position-vertical-relative:text;mso-width-relative:page;mso-height-relative:page;visibility:visible;" coordsize="3296285,1259840">
              <v:shape id="4098" type="#_x0000_t75" filled="f" stroked="f" style="position:absolute;left:0;top:0;width:1409065;height:1218565;z-index:2;mso-position-horizontal-relative:page;mso-position-vertical-relative:page;mso-width-relative:page;mso-height-relative:page;visibility:visible;">
                <v:imagedata r:id="rId1" croptop="2472f" cropleft="37419f" cropbottom="55155f" cropright="16205f" embosscolor="white" o:title=""/>
                <v:stroke on="f"/>
                <v:fill rotate="true"/>
              </v:shape>
              <v:shape id="4099" type="#_x0000_t75" filled="f" stroked="f" style="position:absolute;left:1266825;top:19050;width:2029460;height:1240790;z-index:3;mso-position-horizontal-relative:page;mso-position-vertical-relative:page;mso-width-relative:page;mso-height-relative:page;visibility:visible;">
                <v:imagedata r:id="rId2" embosscolor="white" o:title=""/>
                <v:fill/>
              </v:shape>
              <w10:wrap type="through"/>
              <v:fill/>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67F6B49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cs="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cs="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cs="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00000001"/>
    <w:multiLevelType w:val="multilevel"/>
    <w:tmpl w:val="06E11CC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cs="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cs="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cs="Courier New" w:hAnsi="Courier New" w:hint="default"/>
      </w:rPr>
    </w:lvl>
    <w:lvl w:ilvl="8">
      <w:start w:val="1"/>
      <w:numFmt w:val="bullet"/>
      <w:lvlText w:val=""/>
      <w:lvlJc w:val="left"/>
      <w:pPr>
        <w:ind w:left="6480" w:hanging="360"/>
      </w:pPr>
      <w:rPr>
        <w:rFonts w:ascii="Wingdings" w:hAnsi="Wingdings" w:hint="default"/>
      </w:rPr>
    </w:lvl>
  </w:abstractNum>
  <w:abstractNum w:abstractNumId="2">
    <w:nsid w:val="00000002"/>
    <w:multiLevelType w:val="hybridMultilevel"/>
    <w:tmpl w:val="A98E3F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0000003"/>
    <w:multiLevelType w:val="hybridMultilevel"/>
    <w:tmpl w:val="3D7086B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cs="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cs="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cs="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00000004"/>
    <w:multiLevelType w:val="hybridMultilevel"/>
    <w:tmpl w:val="37E820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0000005"/>
    <w:multiLevelType w:val="hybridMultilevel"/>
    <w:tmpl w:val="E07A4B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0000006"/>
    <w:multiLevelType w:val="hybridMultilevel"/>
    <w:tmpl w:val="E4AC34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0000007"/>
    <w:multiLevelType w:val="multilevel"/>
    <w:tmpl w:val="15255E1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cs="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cs="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cs="Courier New" w:hAnsi="Courier New" w:hint="default"/>
      </w:rPr>
    </w:lvl>
    <w:lvl w:ilvl="8">
      <w:start w:val="1"/>
      <w:numFmt w:val="bullet"/>
      <w:lvlText w:val=""/>
      <w:lvlJc w:val="left"/>
      <w:pPr>
        <w:ind w:left="6480" w:hanging="360"/>
      </w:pPr>
      <w:rPr>
        <w:rFonts w:ascii="Wingdings" w:hAnsi="Wingdings" w:hint="default"/>
      </w:rPr>
    </w:lvl>
  </w:abstractNum>
  <w:abstractNum w:abstractNumId="8">
    <w:nsid w:val="00000008"/>
    <w:multiLevelType w:val="multilevel"/>
    <w:tmpl w:val="1547690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cs="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cs="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cs="Courier New" w:hAnsi="Courier New" w:hint="default"/>
      </w:rPr>
    </w:lvl>
    <w:lvl w:ilvl="8">
      <w:start w:val="1"/>
      <w:numFmt w:val="bullet"/>
      <w:lvlText w:val=""/>
      <w:lvlJc w:val="left"/>
      <w:pPr>
        <w:ind w:left="6480" w:hanging="360"/>
      </w:pPr>
      <w:rPr>
        <w:rFonts w:ascii="Wingdings" w:hAnsi="Wingdings" w:hint="default"/>
      </w:rPr>
    </w:lvl>
  </w:abstractNum>
  <w:abstractNum w:abstractNumId="9">
    <w:nsid w:val="00000009"/>
    <w:multiLevelType w:val="hybridMultilevel"/>
    <w:tmpl w:val="E6EEC93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cs="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cs="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cs="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0000000A"/>
    <w:multiLevelType w:val="hybridMultilevel"/>
    <w:tmpl w:val="854E805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cs="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cs="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cs="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0000000B"/>
    <w:multiLevelType w:val="multilevel"/>
    <w:tmpl w:val="23E115F7"/>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nsid w:val="0000000C"/>
    <w:multiLevelType w:val="hybridMultilevel"/>
    <w:tmpl w:val="08FE39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0000000D"/>
    <w:multiLevelType w:val="hybridMultilevel"/>
    <w:tmpl w:val="D236EF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0000000E"/>
    <w:multiLevelType w:val="hybridMultilevel"/>
    <w:tmpl w:val="06C29976"/>
    <w:lvl w:ilvl="0" w:tplc="04090001">
      <w:start w:val="1"/>
      <w:numFmt w:val="bullet"/>
      <w:lvlText w:val=""/>
      <w:lvlJc w:val="left"/>
      <w:pPr>
        <w:ind w:left="578" w:hanging="360"/>
      </w:pPr>
      <w:rPr>
        <w:rFonts w:ascii="Symbol" w:hAnsi="Symbol" w:hint="default"/>
      </w:rPr>
    </w:lvl>
    <w:lvl w:ilvl="1" w:tplc="04090003" w:tentative="1">
      <w:start w:val="1"/>
      <w:numFmt w:val="bullet"/>
      <w:lvlText w:val="o"/>
      <w:lvlJc w:val="left"/>
      <w:pPr>
        <w:ind w:left="1298" w:hanging="360"/>
      </w:pPr>
      <w:rPr>
        <w:rFonts w:ascii="Courier New" w:cs="Courier New" w:hAnsi="Courier New" w:hint="default"/>
      </w:rPr>
    </w:lvl>
    <w:lvl w:ilvl="2" w:tplc="04090005" w:tentative="1">
      <w:start w:val="1"/>
      <w:numFmt w:val="bullet"/>
      <w:lvlText w:val=""/>
      <w:lvlJc w:val="left"/>
      <w:pPr>
        <w:ind w:left="2018" w:hanging="360"/>
      </w:pPr>
      <w:rPr>
        <w:rFonts w:ascii="Wingdings" w:hAnsi="Wingdings" w:hint="default"/>
      </w:rPr>
    </w:lvl>
    <w:lvl w:ilvl="3" w:tplc="04090001" w:tentative="1">
      <w:start w:val="1"/>
      <w:numFmt w:val="bullet"/>
      <w:lvlText w:val=""/>
      <w:lvlJc w:val="left"/>
      <w:pPr>
        <w:ind w:left="2738" w:hanging="360"/>
      </w:pPr>
      <w:rPr>
        <w:rFonts w:ascii="Symbol" w:hAnsi="Symbol" w:hint="default"/>
      </w:rPr>
    </w:lvl>
    <w:lvl w:ilvl="4" w:tplc="04090003" w:tentative="1">
      <w:start w:val="1"/>
      <w:numFmt w:val="bullet"/>
      <w:lvlText w:val="o"/>
      <w:lvlJc w:val="left"/>
      <w:pPr>
        <w:ind w:left="3458" w:hanging="360"/>
      </w:pPr>
      <w:rPr>
        <w:rFonts w:ascii="Courier New" w:cs="Courier New" w:hAnsi="Courier New" w:hint="default"/>
      </w:rPr>
    </w:lvl>
    <w:lvl w:ilvl="5" w:tplc="04090005" w:tentative="1">
      <w:start w:val="1"/>
      <w:numFmt w:val="bullet"/>
      <w:lvlText w:val=""/>
      <w:lvlJc w:val="left"/>
      <w:pPr>
        <w:ind w:left="4178" w:hanging="360"/>
      </w:pPr>
      <w:rPr>
        <w:rFonts w:ascii="Wingdings" w:hAnsi="Wingdings" w:hint="default"/>
      </w:rPr>
    </w:lvl>
    <w:lvl w:ilvl="6" w:tplc="04090001" w:tentative="1">
      <w:start w:val="1"/>
      <w:numFmt w:val="bullet"/>
      <w:lvlText w:val=""/>
      <w:lvlJc w:val="left"/>
      <w:pPr>
        <w:ind w:left="4898" w:hanging="360"/>
      </w:pPr>
      <w:rPr>
        <w:rFonts w:ascii="Symbol" w:hAnsi="Symbol" w:hint="default"/>
      </w:rPr>
    </w:lvl>
    <w:lvl w:ilvl="7" w:tplc="04090003" w:tentative="1">
      <w:start w:val="1"/>
      <w:numFmt w:val="bullet"/>
      <w:lvlText w:val="o"/>
      <w:lvlJc w:val="left"/>
      <w:pPr>
        <w:ind w:left="5618" w:hanging="360"/>
      </w:pPr>
      <w:rPr>
        <w:rFonts w:ascii="Courier New" w:cs="Courier New" w:hAnsi="Courier New" w:hint="default"/>
      </w:rPr>
    </w:lvl>
    <w:lvl w:ilvl="8" w:tplc="04090005" w:tentative="1">
      <w:start w:val="1"/>
      <w:numFmt w:val="bullet"/>
      <w:lvlText w:val=""/>
      <w:lvlJc w:val="left"/>
      <w:pPr>
        <w:ind w:left="6338" w:hanging="360"/>
      </w:pPr>
      <w:rPr>
        <w:rFonts w:ascii="Wingdings" w:hAnsi="Wingdings" w:hint="default"/>
      </w:rPr>
    </w:lvl>
  </w:abstractNum>
  <w:abstractNum w:abstractNumId="15">
    <w:nsid w:val="0000000F"/>
    <w:multiLevelType w:val="hybridMultilevel"/>
    <w:tmpl w:val="E7C0749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cs="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cs="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cs="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nsid w:val="00000010"/>
    <w:multiLevelType w:val="hybridMultilevel"/>
    <w:tmpl w:val="594AF91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cs="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cs="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cs="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nsid w:val="00000011"/>
    <w:multiLevelType w:val="hybridMultilevel"/>
    <w:tmpl w:val="370AD30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cs="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cs="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cs="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nsid w:val="00000012"/>
    <w:multiLevelType w:val="hybridMultilevel"/>
    <w:tmpl w:val="B016E01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cs="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cs="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cs="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nsid w:val="00000013"/>
    <w:multiLevelType w:val="hybridMultilevel"/>
    <w:tmpl w:val="072C81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00000014"/>
    <w:multiLevelType w:val="hybridMultilevel"/>
    <w:tmpl w:val="1DD4C83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cs="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cs="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cs="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nsid w:val="00000015"/>
    <w:multiLevelType w:val="hybridMultilevel"/>
    <w:tmpl w:val="3E62A9A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cs="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cs="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cs="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nsid w:val="00000016"/>
    <w:multiLevelType w:val="hybridMultilevel"/>
    <w:tmpl w:val="78D2AA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00000017"/>
    <w:multiLevelType w:val="hybridMultilevel"/>
    <w:tmpl w:val="EDB0428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cs="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cs="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cs="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nsid w:val="00000018"/>
    <w:multiLevelType w:val="hybridMultilevel"/>
    <w:tmpl w:val="9984D70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cs="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cs="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cs="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nsid w:val="00000019"/>
    <w:multiLevelType w:val="hybridMultilevel"/>
    <w:tmpl w:val="33800E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0000001A"/>
    <w:multiLevelType w:val="hybridMultilevel"/>
    <w:tmpl w:val="0BA65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0000001B"/>
    <w:multiLevelType w:val="hybridMultilevel"/>
    <w:tmpl w:val="60228E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0000001C"/>
    <w:multiLevelType w:val="hybridMultilevel"/>
    <w:tmpl w:val="FAB0CA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0000001D"/>
    <w:multiLevelType w:val="hybridMultilevel"/>
    <w:tmpl w:val="EE0000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0000001E"/>
    <w:multiLevelType w:val="hybridMultilevel"/>
    <w:tmpl w:val="E2B25E60"/>
    <w:lvl w:ilvl="0" w:tplc="04090001">
      <w:start w:val="1"/>
      <w:numFmt w:val="bullet"/>
      <w:lvlText w:val=""/>
      <w:lvlJc w:val="left"/>
      <w:pPr>
        <w:ind w:left="1077" w:hanging="360"/>
      </w:pPr>
      <w:rPr>
        <w:rFonts w:ascii="Symbol" w:hAnsi="Symbol" w:hint="default"/>
      </w:rPr>
    </w:lvl>
    <w:lvl w:ilvl="1" w:tplc="04090003" w:tentative="1">
      <w:start w:val="1"/>
      <w:numFmt w:val="bullet"/>
      <w:lvlText w:val="o"/>
      <w:lvlJc w:val="left"/>
      <w:pPr>
        <w:ind w:left="1797" w:hanging="360"/>
      </w:pPr>
      <w:rPr>
        <w:rFonts w:ascii="Courier New" w:cs="Courier New" w:hAnsi="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cs="Courier New" w:hAnsi="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cs="Courier New" w:hAnsi="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31">
    <w:nsid w:val="0000001F"/>
    <w:multiLevelType w:val="hybridMultilevel"/>
    <w:tmpl w:val="7A8CC94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cs="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cs="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cs="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2">
    <w:nsid w:val="00000020"/>
    <w:multiLevelType w:val="hybridMultilevel"/>
    <w:tmpl w:val="ED0EFA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00000021"/>
    <w:multiLevelType w:val="hybridMultilevel"/>
    <w:tmpl w:val="B70602C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cs="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cs="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cs="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4">
    <w:nsid w:val="00000022"/>
    <w:multiLevelType w:val="hybridMultilevel"/>
    <w:tmpl w:val="596CE5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00000023"/>
    <w:multiLevelType w:val="hybridMultilevel"/>
    <w:tmpl w:val="30E8B2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00000024"/>
    <w:multiLevelType w:val="hybridMultilevel"/>
    <w:tmpl w:val="0B12EC5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cs="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cs="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cs="Courier New" w:hAnsi="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5"/>
  </w:num>
  <w:num w:numId="2">
    <w:abstractNumId w:val="16"/>
  </w:num>
  <w:num w:numId="3">
    <w:abstractNumId w:val="26"/>
  </w:num>
  <w:num w:numId="4">
    <w:abstractNumId w:val="29"/>
  </w:num>
  <w:num w:numId="5">
    <w:abstractNumId w:val="11"/>
  </w:num>
  <w:num w:numId="6">
    <w:abstractNumId w:val="7"/>
  </w:num>
  <w:num w:numId="7">
    <w:abstractNumId w:val="8"/>
  </w:num>
  <w:num w:numId="8">
    <w:abstractNumId w:val="13"/>
  </w:num>
  <w:num w:numId="9">
    <w:abstractNumId w:val="28"/>
  </w:num>
  <w:num w:numId="10">
    <w:abstractNumId w:val="2"/>
  </w:num>
  <w:num w:numId="11">
    <w:abstractNumId w:val="12"/>
  </w:num>
  <w:num w:numId="12">
    <w:abstractNumId w:val="15"/>
  </w:num>
  <w:num w:numId="13">
    <w:abstractNumId w:val="30"/>
  </w:num>
  <w:num w:numId="14">
    <w:abstractNumId w:val="14"/>
  </w:num>
  <w:num w:numId="15">
    <w:abstractNumId w:val="27"/>
  </w:num>
  <w:num w:numId="16">
    <w:abstractNumId w:val="6"/>
  </w:num>
  <w:num w:numId="17">
    <w:abstractNumId w:val="35"/>
  </w:num>
  <w:num w:numId="18">
    <w:abstractNumId w:val="3"/>
  </w:num>
  <w:num w:numId="19">
    <w:abstractNumId w:val="18"/>
  </w:num>
  <w:num w:numId="20">
    <w:abstractNumId w:val="0"/>
  </w:num>
  <w:num w:numId="21">
    <w:abstractNumId w:val="21"/>
  </w:num>
  <w:num w:numId="22">
    <w:abstractNumId w:val="36"/>
  </w:num>
  <w:num w:numId="23">
    <w:abstractNumId w:val="20"/>
  </w:num>
  <w:num w:numId="24">
    <w:abstractNumId w:val="10"/>
  </w:num>
  <w:num w:numId="25">
    <w:abstractNumId w:val="17"/>
  </w:num>
  <w:num w:numId="26">
    <w:abstractNumId w:val="32"/>
  </w:num>
  <w:num w:numId="27">
    <w:abstractNumId w:val="34"/>
  </w:num>
  <w:num w:numId="28">
    <w:abstractNumId w:val="4"/>
  </w:num>
  <w:num w:numId="29">
    <w:abstractNumId w:val="19"/>
  </w:num>
  <w:num w:numId="30">
    <w:abstractNumId w:val="25"/>
  </w:num>
  <w:num w:numId="31">
    <w:abstractNumId w:val="22"/>
  </w:num>
  <w:num w:numId="32">
    <w:abstractNumId w:val="23"/>
  </w:num>
  <w:num w:numId="33">
    <w:abstractNumId w:val="1"/>
  </w:num>
  <w:num w:numId="34">
    <w:abstractNumId w:val="33"/>
  </w:num>
  <w:num w:numId="35">
    <w:abstractNumId w:val="9"/>
  </w:num>
  <w:num w:numId="36">
    <w:abstractNumId w:val="31"/>
  </w:num>
  <w:num w:numId="37">
    <w:abstractNumId w:val="24"/>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74"/>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venir" w:cs="Arial" w:eastAsia="SimSun" w:hAnsi="Avenir"/>
        <w:sz w:val="24"/>
        <w:szCs w:val="24"/>
        <w:lang w:val="es-MX" w:bidi="ar-SA" w:eastAsia="en-US"/>
      </w:rPr>
    </w:rPrDefault>
    <w:pPrDefault>
      <w:pPr>
        <w:jc w:val="both"/>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419"/>
        <w:tab w:val="right" w:leader="none" w:pos="8838"/>
      </w:tabs>
    </w:pPr>
    <w:rPr/>
  </w:style>
  <w:style w:type="character" w:customStyle="1" w:styleId="style4097">
    <w:name w:val="Encabezado Car"/>
    <w:basedOn w:val="style65"/>
    <w:next w:val="style4097"/>
    <w:link w:val="style31"/>
    <w:uiPriority w:val="99"/>
  </w:style>
  <w:style w:type="paragraph" w:styleId="style32">
    <w:name w:val="footer"/>
    <w:basedOn w:val="style0"/>
    <w:next w:val="style32"/>
    <w:link w:val="style4098"/>
    <w:uiPriority w:val="99"/>
    <w:pPr>
      <w:tabs>
        <w:tab w:val="center" w:leader="none" w:pos="4419"/>
        <w:tab w:val="right" w:leader="none" w:pos="8838"/>
      </w:tabs>
    </w:pPr>
    <w:rPr/>
  </w:style>
  <w:style w:type="character" w:customStyle="1" w:styleId="style4098">
    <w:name w:val="Pie de página Car"/>
    <w:basedOn w:val="style65"/>
    <w:next w:val="style4098"/>
    <w:link w:val="style32"/>
    <w:uiPriority w:val="99"/>
  </w:style>
  <w:style w:type="paragraph" w:styleId="style179">
    <w:name w:val="List Paragraph"/>
    <w:basedOn w:val="style0"/>
    <w:next w:val="style179"/>
    <w:link w:val="style4099"/>
    <w:qFormat/>
    <w:uiPriority w:val="34"/>
    <w:pPr>
      <w:spacing w:after="160" w:lineRule="auto" w:line="259"/>
      <w:ind w:left="720"/>
      <w:contextualSpacing/>
    </w:pPr>
    <w:rPr>
      <w:rFonts w:ascii="Calibri" w:eastAsia="Calibri" w:hAnsi="Calibri"/>
      <w:sz w:val="22"/>
      <w:szCs w:val="22"/>
    </w:rPr>
  </w:style>
  <w:style w:type="character" w:customStyle="1" w:styleId="style4099">
    <w:name w:val="Párrafo de lista Car"/>
    <w:next w:val="style4099"/>
    <w:link w:val="style179"/>
    <w:qFormat/>
    <w:uiPriority w:val="34"/>
    <w:rPr>
      <w:rFonts w:ascii="Calibri" w:eastAsia="Calibri" w:hAnsi="Calibri"/>
      <w:sz w:val="22"/>
      <w:szCs w:val="22"/>
    </w:rPr>
  </w:style>
  <w:style w:type="character" w:customStyle="1" w:styleId="style4100">
    <w:name w:val="apple-converted-space"/>
    <w:basedOn w:val="style65"/>
    <w:next w:val="style4100"/>
  </w:style>
  <w:style w:type="character" w:styleId="style88">
    <w:name w:val="Emphasis"/>
    <w:basedOn w:val="style65"/>
    <w:next w:val="style88"/>
    <w:qFormat/>
    <w:uiPriority w:val="20"/>
    <w:rPr>
      <w:i/>
      <w:iCs/>
    </w:rPr>
  </w:style>
  <w:style w:type="character" w:styleId="style85">
    <w:name w:val="Hyperlink"/>
    <w:basedOn w:val="style65"/>
    <w:next w:val="style85"/>
    <w:qFormat/>
    <w:uiPriority w:val="99"/>
    <w:rPr>
      <w:color w:val="0563c1"/>
      <w:u w:val="single"/>
    </w:rPr>
  </w:style>
  <w:style w:type="paragraph" w:customStyle="1" w:styleId="style4101">
    <w:name w:val="p1"/>
    <w:basedOn w:val="style0"/>
    <w:next w:val="style4101"/>
    <w:pPr>
      <w:jc w:val="left"/>
    </w:pPr>
    <w:rPr>
      <w:rFonts w:ascii=".AppleSystemUIFont" w:cs="Times New Roman" w:eastAsia="宋体" w:hAnsi=".AppleSystemUIFont"/>
      <w:sz w:val="26"/>
      <w:szCs w:val="26"/>
      <w:lang w:eastAsia="es-MX"/>
    </w:rPr>
  </w:style>
  <w:style w:type="paragraph" w:customStyle="1" w:styleId="style4102">
    <w:name w:val="p2"/>
    <w:basedOn w:val="style0"/>
    <w:next w:val="style4102"/>
    <w:pPr>
      <w:jc w:val="left"/>
    </w:pPr>
    <w:rPr>
      <w:rFonts w:ascii=".AppleSystemUIFont" w:cs="Times New Roman" w:eastAsia="宋体" w:hAnsi=".AppleSystemUIFont"/>
      <w:sz w:val="26"/>
      <w:szCs w:val="26"/>
      <w:lang w:eastAsia="es-MX"/>
    </w:rPr>
  </w:style>
  <w:style w:type="character" w:customStyle="1" w:styleId="style4103">
    <w:name w:val="s1"/>
    <w:basedOn w:val="style65"/>
    <w:next w:val="style4103"/>
    <w:rPr>
      <w:rFonts w:ascii="UICTFontTextStyleBody" w:hAnsi="UICTFontTextStyleBody" w:hint="default"/>
      <w:b w:val="false"/>
      <w:bCs w:val="false"/>
      <w:i w:val="false"/>
      <w:iCs w:val="false"/>
      <w:sz w:val="26"/>
      <w:szCs w:val="26"/>
    </w:rPr>
  </w:style>
  <w:style w:type="character" w:customStyle="1" w:styleId="style4104">
    <w:name w:val="s2"/>
    <w:basedOn w:val="style65"/>
    <w:next w:val="style4104"/>
    <w:rPr>
      <w:rFonts w:ascii="UICTFontTextStyleEmphasizedBody" w:hAnsi="UICTFontTextStyleEmphasizedBody" w:hint="default"/>
      <w:b/>
      <w:bCs/>
      <w:i w:val="false"/>
      <w:iCs w:val="false"/>
      <w:sz w:val="26"/>
      <w:szCs w:val="26"/>
    </w:rPr>
  </w:style>
  <w:style w:type="character" w:styleId="style87">
    <w:name w:val="Strong"/>
    <w:basedOn w:val="style65"/>
    <w:next w:val="style87"/>
    <w:qFormat/>
    <w:uiPriority w:val="22"/>
    <w:rPr>
      <w:b/>
      <w:bCs/>
    </w:rPr>
  </w:style>
  <w:style w:type="paragraph" w:styleId="style66">
    <w:name w:val="Body Text"/>
    <w:basedOn w:val="style0"/>
    <w:next w:val="style66"/>
    <w:link w:val="style4105"/>
    <w:qFormat/>
    <w:uiPriority w:val="1"/>
    <w:pPr>
      <w:widowControl w:val="false"/>
      <w:autoSpaceDE w:val="false"/>
      <w:autoSpaceDN w:val="false"/>
      <w:jc w:val="left"/>
    </w:pPr>
    <w:rPr>
      <w:rFonts w:ascii="Arial MT" w:cs="Arial MT" w:eastAsia="Arial MT" w:hAnsi="Arial MT"/>
      <w:lang w:eastAsia="es-MX"/>
    </w:rPr>
  </w:style>
  <w:style w:type="character" w:customStyle="1" w:styleId="style4105">
    <w:name w:val="Texto independiente Car"/>
    <w:basedOn w:val="style65"/>
    <w:next w:val="style4105"/>
    <w:link w:val="style66"/>
    <w:uiPriority w:val="1"/>
    <w:rPr>
      <w:rFonts w:ascii="Arial MT" w:cs="Arial MT" w:eastAsia="Arial MT" w:hAnsi="Arial MT"/>
      <w:lang w:eastAsia="es-MX"/>
    </w:rPr>
  </w:style>
  <w:style w:type="paragraph" w:customStyle="1" w:styleId="style4106">
    <w:name w:val="Yiv2444468468"/>
    <w:basedOn w:val="style0"/>
    <w:next w:val="style4106"/>
    <w:pPr>
      <w:spacing w:before="100" w:after="100" w:lineRule="auto" w:line="276"/>
      <w:jc w:val="left"/>
    </w:pPr>
    <w:rPr>
      <w:rFonts w:ascii="Times New Roman" w:cs="Times New Roman" w:eastAsia="Times New Roman" w:hAnsi="Times New Roman"/>
      <w:sz w:val="22"/>
      <w:szCs w:val="20"/>
      <w:lang w:val="es-ES" w:eastAsia="es-ES"/>
    </w:rPr>
  </w:style>
  <w:style w:type="paragraph" w:styleId="style94">
    <w:name w:val="Normal (Web)"/>
    <w:basedOn w:val="style0"/>
    <w:next w:val="style94"/>
    <w:qFormat/>
    <w:uiPriority w:val="99"/>
    <w:pPr>
      <w:spacing w:before="100" w:beforeAutospacing="true" w:after="100" w:afterAutospacing="true"/>
      <w:jc w:val="left"/>
    </w:pPr>
    <w:rPr>
      <w:rFonts w:ascii="Times New Roman" w:cs="Times New Roman" w:eastAsia="Times New Roman" w:hAnsi="Times New Roman"/>
      <w:lang w:eastAsia="es-MX"/>
    </w:rPr>
  </w:style>
  <w:style w:type="paragraph" w:customStyle="1" w:styleId="style4107">
    <w:name w:val="Cuerpo"/>
    <w:next w:val="style4107"/>
    <w:pPr>
      <w:pBdr>
        <w:left w:val="nil"/>
        <w:right w:val="nil"/>
        <w:top w:val="nil"/>
        <w:bottom w:val="nil"/>
        <w:bar w:val="nil"/>
        <w:between w:val="nil"/>
      </w:pBdr>
      <w:jc w:val="left"/>
    </w:pPr>
    <w:rPr>
      <w:rFonts w:ascii="Times New Roman" w:cs="Times New Roman" w:eastAsia="Times New Roman" w:hAnsi="Times New Roman"/>
      <w:color w:val="000000"/>
      <w:u w:color="000000"/>
      <w:bdr w:val="nil"/>
      <w:lang w:val="es-ES" w:eastAsia="es-ES"/>
    </w:rPr>
  </w:style>
  <w:style w:type="paragraph" w:styleId="style153">
    <w:name w:val="Balloon Text"/>
    <w:basedOn w:val="style0"/>
    <w:next w:val="style153"/>
    <w:link w:val="style4108"/>
    <w:uiPriority w:val="99"/>
    <w:pPr/>
    <w:rPr>
      <w:rFonts w:ascii="Segoe UI" w:cs="Segoe UI" w:hAnsi="Segoe UI"/>
      <w:sz w:val="18"/>
      <w:szCs w:val="18"/>
    </w:rPr>
  </w:style>
  <w:style w:type="character" w:customStyle="1" w:styleId="style4108">
    <w:name w:val="Texto de globo Car"/>
    <w:basedOn w:val="style65"/>
    <w:next w:val="style4108"/>
    <w:link w:val="style153"/>
    <w:uiPriority w:val="99"/>
    <w:rPr>
      <w:rFonts w:ascii="Segoe UI" w:cs="Segoe UI" w:hAnsi="Segoe UI"/>
      <w:sz w:val="18"/>
      <w:szCs w:val="18"/>
    </w:rPr>
  </w:style>
  <w:style w:type="character" w:customStyle="1" w:styleId="style4109">
    <w:name w:val="Ninguno"/>
    <w:next w:val="style4109"/>
    <w:rPr>
      <w:lang w:val="de-DE"/>
    </w:rPr>
  </w:style>
  <w:style w:type="paragraph" w:styleId="style81">
    <w:name w:val="Body Text 3"/>
    <w:basedOn w:val="style0"/>
    <w:next w:val="style81"/>
    <w:link w:val="style4110"/>
    <w:uiPriority w:val="99"/>
    <w:pPr>
      <w:spacing w:after="120"/>
    </w:pPr>
    <w:rPr>
      <w:sz w:val="16"/>
      <w:szCs w:val="16"/>
    </w:rPr>
  </w:style>
  <w:style w:type="character" w:customStyle="1" w:styleId="style4110">
    <w:name w:val="Texto independiente 3 Car"/>
    <w:basedOn w:val="style65"/>
    <w:next w:val="style4110"/>
    <w:link w:val="style81"/>
    <w:uiPriority w:val="99"/>
    <w:rPr>
      <w:sz w:val="16"/>
      <w:szCs w:val="16"/>
    </w:rPr>
  </w:style>
  <w:style w:type="character" w:customStyle="1" w:styleId="style4111">
    <w:name w:val="Mención sin resolver1"/>
    <w:basedOn w:val="style65"/>
    <w:next w:val="style4111"/>
    <w:uiPriority w:val="99"/>
    <w:rPr>
      <w:color w:val="605e5c"/>
      <w:shd w:val="clear" w:color="auto" w:fill="e1dfdd"/>
    </w:rPr>
  </w:style>
  <w:style w:type="character" w:customStyle="1" w:styleId="style4112">
    <w:name w:val="Mención sin resolver2"/>
    <w:basedOn w:val="style65"/>
    <w:next w:val="style4112"/>
    <w:uiPriority w:val="99"/>
    <w:rPr>
      <w:color w:val="605e5c"/>
      <w:shd w:val="clear" w:color="auto" w:fill="e1dfdd"/>
    </w:rPr>
  </w:style>
  <w:style w:type="character" w:customStyle="1" w:styleId="style4113">
    <w:name w:val="Mención sin resolver3"/>
    <w:basedOn w:val="style65"/>
    <w:next w:val="style4113"/>
    <w:uiPriority w:val="99"/>
    <w:rPr>
      <w:color w:val="605e5c"/>
      <w:shd w:val="clear" w:color="auto" w:fill="e1dfdd"/>
    </w:rPr>
  </w:style>
  <w:style w:type="character" w:customStyle="1" w:styleId="style4114">
    <w:name w:val="Mención sin resolver4"/>
    <w:basedOn w:val="style65"/>
    <w:next w:val="style4114"/>
    <w:uiPriority w:val="99"/>
    <w:rPr>
      <w:color w:val="605e5c"/>
      <w:shd w:val="clear" w:color="auto" w:fill="e1dfdd"/>
    </w:rPr>
  </w:style>
  <w:style w:type="paragraph" w:styleId="style157">
    <w:name w:val="No Spacing"/>
    <w:next w:val="style157"/>
    <w:qFormat/>
    <w:uiPriority w:val="1"/>
    <w:pPr>
      <w:jc w:val="left"/>
    </w:pPr>
    <w:rPr>
      <w:rFonts w:ascii="Cambria" w:cs="Times New Roman" w:eastAsia="MS Mincho" w:hAnsi="Cambria"/>
      <w:lang w:val="es-ES_tradnl"/>
    </w:rPr>
  </w:style>
  <w:style w:type="character" w:customStyle="1" w:styleId="style4115">
    <w:name w:val="bumpedfont15"/>
    <w:next w:val="style4115"/>
    <w:qFormat/>
  </w:style>
  <w:style w:type="character" w:customStyle="1" w:styleId="style4116">
    <w:name w:val="Mención sin resolver5"/>
    <w:basedOn w:val="style65"/>
    <w:next w:val="style4116"/>
    <w:uiPriority w:val="99"/>
    <w:rPr>
      <w:color w:val="605e5c"/>
      <w:shd w:val="clear" w:color="auto" w:fill="e1dfdd"/>
    </w:rPr>
  </w:style>
  <w:style w:type="character" w:customStyle="1" w:styleId="style4117">
    <w:name w:val="Mención sin resolver6"/>
    <w:basedOn w:val="style65"/>
    <w:next w:val="style4117"/>
    <w:uiPriority w:val="99"/>
    <w:rPr>
      <w:color w:val="605e5c"/>
      <w:shd w:val="clear" w:color="auto" w:fill="e1dfdd"/>
    </w:rPr>
  </w:style>
  <w:style w:type="character" w:customStyle="1" w:styleId="style4118">
    <w:name w:val="ms-rtefontsize-3"/>
    <w:basedOn w:val="style65"/>
    <w:next w:val="style4118"/>
  </w:style>
  <w:style w:type="character" w:customStyle="1" w:styleId="style4119">
    <w:name w:val="Mención sin resolver7"/>
    <w:basedOn w:val="style65"/>
    <w:next w:val="style4119"/>
    <w:uiPriority w:val="99"/>
    <w:rPr>
      <w:color w:val="605e5c"/>
      <w:shd w:val="clear" w:color="auto" w:fill="e1dfdd"/>
    </w:rPr>
  </w:style>
  <w:style w:type="paragraph" w:customStyle="1" w:styleId="style4120">
    <w:name w:val="letter-capitular"/>
    <w:basedOn w:val="style0"/>
    <w:next w:val="style4120"/>
    <w:qFormat/>
    <w:pPr>
      <w:spacing w:before="100" w:beforeAutospacing="true" w:after="100" w:afterAutospacing="true"/>
      <w:jc w:val="left"/>
    </w:pPr>
    <w:rPr>
      <w:rFonts w:ascii="Times New Roman" w:cs="Times New Roman" w:eastAsia="Times New Roman" w:hAnsi="Times New Roman"/>
      <w:lang w:eastAsia="es-MX"/>
    </w:rPr>
  </w:style>
  <w:style w:type="character" w:customStyle="1" w:styleId="style4121">
    <w:name w:val="notranslate"/>
    <w:next w:val="style4121"/>
  </w:style>
  <w:style w:type="character" w:customStyle="1" w:styleId="style4122">
    <w:name w:val="Mención sin resolver8"/>
    <w:basedOn w:val="style65"/>
    <w:next w:val="style4122"/>
    <w:uiPriority w:val="99"/>
    <w:rPr>
      <w:color w:val="605e5c"/>
      <w:shd w:val="clear" w:color="auto" w:fill="e1dfdd"/>
    </w:rPr>
  </w:style>
  <w:style w:type="character" w:customStyle="1" w:styleId="style4123">
    <w:name w:val="hgkelc"/>
    <w:basedOn w:val="style65"/>
    <w:next w:val="style4123"/>
    <w:qFormat/>
  </w:style>
  <w:style w:type="paragraph" w:customStyle="1" w:styleId="style4124">
    <w:name w:val="yiv5047152278msonormal"/>
    <w:basedOn w:val="style0"/>
    <w:next w:val="style4124"/>
    <w:pPr>
      <w:spacing w:before="100" w:beforeAutospacing="true" w:after="100" w:afterAutospacing="true"/>
      <w:jc w:val="left"/>
    </w:pPr>
    <w:rPr>
      <w:rFonts w:ascii="Times New Roman" w:cs="Times New Roman" w:eastAsia="MS Mincho" w:hAnsi="Times New Roman"/>
      <w:lang w:val="es-ES_tradnl" w:eastAsia="es-ES_tradnl"/>
    </w:rPr>
  </w:style>
  <w:style w:type="character" w:customStyle="1" w:styleId="style4125">
    <w:name w:val="Mención sin resolver9"/>
    <w:basedOn w:val="style65"/>
    <w:next w:val="style4125"/>
    <w:uiPriority w:val="99"/>
    <w:rPr>
      <w:color w:val="605e5c"/>
      <w:shd w:val="clear" w:color="auto" w:fill="e1dfdd"/>
    </w:rPr>
  </w:style>
  <w:style w:type="paragraph" w:customStyle="1" w:styleId="style4126">
    <w:name w:val="yiv8844660308msonormal"/>
    <w:basedOn w:val="style0"/>
    <w:next w:val="style4126"/>
    <w:qFormat/>
    <w:pPr>
      <w:spacing w:before="100" w:beforeAutospacing="true" w:after="100" w:afterAutospacing="true"/>
      <w:jc w:val="left"/>
    </w:pPr>
    <w:rPr>
      <w:rFonts w:ascii="Times New Roman" w:cs="Times New Roman" w:eastAsia="Times New Roman" w:hAnsi="Times New Roman"/>
      <w:lang w:eastAsia="es-ES_tradnl"/>
    </w:rPr>
  </w:style>
  <w:style w:type="paragraph" w:customStyle="1" w:styleId="style4127">
    <w:name w:val="yiv8844660308gmail-msolistparagraph"/>
    <w:basedOn w:val="style0"/>
    <w:next w:val="style4127"/>
    <w:qFormat/>
    <w:pPr>
      <w:spacing w:before="100" w:beforeAutospacing="true" w:after="100" w:afterAutospacing="true"/>
      <w:jc w:val="left"/>
    </w:pPr>
    <w:rPr>
      <w:rFonts w:ascii="Times New Roman" w:cs="Times New Roman" w:eastAsia="Times New Roman" w:hAnsi="Times New Roman"/>
      <w:lang w:eastAsia="es-ES_tradnl"/>
    </w:rPr>
  </w:style>
  <w:style w:type="paragraph" w:customStyle="1" w:styleId="style4128">
    <w:name w:val="x_msonormal"/>
    <w:basedOn w:val="style0"/>
    <w:next w:val="style4128"/>
    <w:uiPriority w:val="99"/>
    <w:pPr>
      <w:jc w:val="left"/>
    </w:pPr>
    <w:rPr>
      <w:rFonts w:ascii="Times New Roman" w:cs="Times New Roman" w:eastAsia="Calibri" w:hAnsi="Times New Roman"/>
      <w:lang w:eastAsia="es-MX"/>
    </w:rPr>
  </w:style>
  <w:style w:type="character" w:customStyle="1" w:styleId="style4129">
    <w:name w:val="Mención sin resolver10"/>
    <w:basedOn w:val="style65"/>
    <w:next w:val="style4129"/>
    <w:uiPriority w:val="99"/>
    <w:rPr>
      <w:color w:val="605e5c"/>
      <w:shd w:val="clear" w:color="auto" w:fill="e1dfdd"/>
    </w:rPr>
  </w:style>
  <w:style w:type="character" w:customStyle="1" w:styleId="style4130">
    <w:name w:val="Mención sin resolver11"/>
    <w:basedOn w:val="style65"/>
    <w:next w:val="style4130"/>
    <w:uiPriority w:val="99"/>
    <w:rPr>
      <w:color w:val="605e5c"/>
      <w:shd w:val="clear" w:color="auto" w:fill="e1dfdd"/>
    </w:rPr>
  </w:style>
  <w:style w:type="character" w:customStyle="1" w:styleId="style4131">
    <w:name w:val="Mención sin resolver12"/>
    <w:basedOn w:val="style65"/>
    <w:next w:val="style4131"/>
    <w:uiPriority w:val="99"/>
    <w:rPr>
      <w:color w:val="605e5c"/>
      <w:shd w:val="clear" w:color="auto" w:fill="e1dfdd"/>
    </w:rPr>
  </w:style>
  <w:style w:type="character" w:customStyle="1" w:styleId="style4132">
    <w:name w:val="Mención sin resolver13"/>
    <w:basedOn w:val="style65"/>
    <w:next w:val="style4132"/>
    <w:uiPriority w:val="99"/>
    <w:rPr>
      <w:color w:val="605e5c"/>
      <w:shd w:val="clear" w:color="auto" w:fill="e1dfdd"/>
    </w:rPr>
  </w:style>
  <w:style w:type="paragraph" w:customStyle="1" w:styleId="style4133">
    <w:name w:val="Párrafo de lista1"/>
    <w:basedOn w:val="style0"/>
    <w:next w:val="style4133"/>
    <w:qFormat/>
    <w:uiPriority w:val="34"/>
    <w:pPr>
      <w:spacing w:after="160" w:lineRule="auto" w:line="259"/>
      <w:ind w:left="720"/>
      <w:contextualSpacing/>
    </w:pPr>
    <w:rPr>
      <w:rFonts w:ascii="Calibri" w:eastAsia="Calibri" w:hAnsi="Calibri"/>
      <w:sz w:val="22"/>
      <w:szCs w:val="22"/>
    </w:rPr>
  </w:style>
  <w:style w:type="paragraph" w:customStyle="1" w:styleId="style4134">
    <w:name w:val="Default"/>
    <w:next w:val="style4134"/>
    <w:pPr>
      <w:autoSpaceDE w:val="false"/>
      <w:autoSpaceDN w:val="false"/>
      <w:adjustRightInd w:val="false"/>
      <w:jc w:val="left"/>
    </w:pPr>
    <w:rPr>
      <w:rFonts w:ascii="Noto Sans" w:cs="Noto Sans" w:eastAsia="Calibri" w:hAnsi="Noto Sans"/>
      <w:color w:val="000000"/>
    </w:rPr>
  </w:style>
  <w:style w:type="paragraph" w:styleId="style178">
    <w:name w:val="Revision"/>
    <w:next w:val="style178"/>
    <w:uiPriority w:val="99"/>
    <w:pPr>
      <w:jc w:val="left"/>
    </w:pPr>
    <w:rPr/>
  </w:style>
  <w:style w:type="character" w:customStyle="1" w:styleId="style4135">
    <w:name w:val="Mención sin resolver14"/>
    <w:basedOn w:val="style65"/>
    <w:next w:val="style4135"/>
    <w:uiPriority w:val="99"/>
    <w:rPr>
      <w:color w:val="605e5c"/>
      <w:shd w:val="clear" w:color="auto" w:fill="e1dfdd"/>
    </w:rPr>
  </w:style>
  <w:style w:type="character" w:customStyle="1" w:styleId="style4136">
    <w:name w:val="Mención sin resolver15"/>
    <w:basedOn w:val="style65"/>
    <w:next w:val="style4136"/>
    <w:uiPriority w:val="99"/>
    <w:rPr>
      <w:color w:val="605e5c"/>
      <w:shd w:val="clear" w:color="auto" w:fill="e1dfdd"/>
    </w:rPr>
  </w:style>
  <w:style w:type="character" w:customStyle="1" w:styleId="style4137">
    <w:name w:val="Mención sin resolver16"/>
    <w:basedOn w:val="style65"/>
    <w:next w:val="style4137"/>
    <w:uiPriority w:val="99"/>
    <w:rPr>
      <w:color w:val="605e5c"/>
      <w:shd w:val="clear" w:color="auto" w:fill="e1dfdd"/>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footer" Target="foot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_rels/footer2.xml.rels><?xml version="1.0" encoding="UTF-8"?>
<Relationships xmlns="http://schemas.openxmlformats.org/package/2006/relationships"><Relationship Id="rId1" Type="http://schemas.openxmlformats.org/officeDocument/2006/relationships/image" Target="media/image3.png"/></Relationships>
</file>

<file path=word/_rels/header1.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Words>615</Words>
  <Pages>2</Pages>
  <Characters>3477</Characters>
  <Application>WPS Office</Application>
  <DocSecurity>0</DocSecurity>
  <Paragraphs>31</Paragraphs>
  <ScaleCrop>false</ScaleCrop>
  <LinksUpToDate>false</LinksUpToDate>
  <CharactersWithSpaces>4080</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2026-10-02T02:11:00Z</dcterms:created>
  <dc:creator>Espinosa Esparza, Alberto</dc:creator>
  <lastModifiedBy>A001T</lastModifiedBy>
  <lastPrinted>2026-09-25T19:53:00Z</lastPrinted>
  <dcterms:modified xsi:type="dcterms:W3CDTF">2026-10-02T17:57:04Z</dcterms:modified>
  <revision>4</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c32d88df27bb44f18e0421293123ddd8_23</vt:lpwstr>
  </property>
</Properties>
</file>