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venir" w:cs="Avenir" w:eastAsia="Avenir" w:hAnsi="Avenir"/>
          <w:color w:val="000000"/>
        </w:rPr>
      </w:pPr>
      <w:r w:rsidDel="00000000" w:rsidR="00000000" w:rsidRPr="00000000">
        <w:rPr>
          <w:rFonts w:ascii="Avenir" w:cs="Avenir" w:eastAsia="Avenir" w:hAnsi="Avenir"/>
          <w:color w:val="000000"/>
          <w:rtl w:val="0"/>
        </w:rPr>
        <w:t xml:space="preserve">El Marqués, Qro., 3 de octubre de 2026</w:t>
      </w:r>
    </w:p>
    <w:p w:rsidR="00000000" w:rsidDel="00000000" w:rsidP="00000000" w:rsidRDefault="00000000" w:rsidRPr="00000000" w14:paraId="00000002">
      <w:pPr>
        <w:tabs>
          <w:tab w:val="left" w:leader="none" w:pos="3586"/>
          <w:tab w:val="center" w:leader="none" w:pos="4419"/>
        </w:tabs>
        <w:jc w:val="left"/>
        <w:rPr>
          <w:rFonts w:ascii="Avenir" w:cs="Avenir" w:eastAsia="Avenir" w:hAnsi="Avenir"/>
          <w:color w:val="000000"/>
        </w:rPr>
      </w:pPr>
      <w:r w:rsidDel="00000000" w:rsidR="00000000" w:rsidRPr="00000000">
        <w:rPr>
          <w:rFonts w:ascii="Avenir" w:cs="Avenir" w:eastAsia="Avenir" w:hAnsi="Avenir"/>
          <w:color w:val="000000"/>
          <w:rtl w:val="0"/>
        </w:rPr>
        <w:tab/>
        <w:tab/>
        <w:t xml:space="preserve"> </w:t>
      </w:r>
    </w:p>
    <w:p w:rsidR="00000000" w:rsidDel="00000000" w:rsidP="00000000" w:rsidRDefault="00000000" w:rsidRPr="00000000" w14:paraId="00000003">
      <w:pPr>
        <w:jc w:val="center"/>
        <w:rPr>
          <w:rFonts w:ascii="Avenir" w:cs="Avenir" w:eastAsia="Avenir" w:hAnsi="Avenir"/>
          <w:b w:val="1"/>
          <w:bCs w:val="1"/>
          <w:color w:val="000000"/>
          <w:sz w:val="26"/>
          <w:szCs w:val="26"/>
        </w:rPr>
      </w:pPr>
      <w:r w:rsidDel="00000000" w:rsidR="00000000" w:rsidRPr="00000000">
        <w:rPr>
          <w:rFonts w:ascii="Avenir" w:cs="Avenir" w:eastAsia="Avenir" w:hAnsi="Avenir"/>
          <w:b w:val="1"/>
          <w:bCs w:val="1"/>
          <w:color w:val="000000"/>
          <w:sz w:val="26"/>
          <w:szCs w:val="26"/>
          <w:rtl w:val="0"/>
        </w:rPr>
        <w:t xml:space="preserve">BOLETÍN 126/26</w:t>
      </w:r>
    </w:p>
    <w:p w:rsidR="00000000" w:rsidDel="00000000" w:rsidP="00000000" w:rsidRDefault="00000000" w:rsidRPr="00000000" w14:paraId="00000004">
      <w:pPr>
        <w:rPr>
          <w:rFonts w:ascii="Avenir" w:cs="Avenir" w:eastAsia="Avenir" w:hAnsi="Avenir"/>
          <w:b w:val="1"/>
          <w:bCs w:val="1"/>
          <w:color w:val="000000"/>
          <w:sz w:val="26"/>
          <w:szCs w:val="26"/>
        </w:rPr>
      </w:pPr>
      <w:r w:rsidDel="00000000" w:rsidR="00000000" w:rsidRPr="00000000">
        <w:rPr>
          <w:rFonts w:ascii="Avenir" w:cs="Avenir" w:eastAsia="Avenir" w:hAnsi="Avenir"/>
          <w:b w:val="1"/>
          <w:bCs w:val="1"/>
          <w:color w:val="000000"/>
          <w:sz w:val="26"/>
          <w:szCs w:val="26"/>
          <w:rtl w:val="0"/>
        </w:rPr>
        <w:t xml:space="preserve"> </w:t>
      </w:r>
    </w:p>
    <w:p w:rsidR="00000000" w:rsidDel="00000000" w:rsidP="00000000" w:rsidRDefault="00000000" w:rsidRPr="00000000" w14:paraId="00000005">
      <w:pPr>
        <w:jc w:val="center"/>
        <w:rPr>
          <w:rFonts w:ascii="Avenir" w:cs="Avenir" w:eastAsia="Avenir" w:hAnsi="Avenir"/>
          <w:b w:val="1"/>
          <w:bCs w:val="1"/>
          <w:sz w:val="26"/>
          <w:szCs w:val="26"/>
        </w:rPr>
      </w:pPr>
      <w:r w:rsidDel="00000000" w:rsidR="00000000" w:rsidRPr="00000000">
        <w:rPr>
          <w:rFonts w:ascii="Avenir" w:cs="Avenir" w:eastAsia="Avenir" w:hAnsi="Avenir"/>
          <w:b w:val="1"/>
          <w:bCs w:val="1"/>
          <w:sz w:val="26"/>
          <w:szCs w:val="26"/>
          <w:rtl w:val="0"/>
        </w:rPr>
        <w:t xml:space="preserve">SEDESOQ entrega apoyos del Programa de Coinversión Social en El Marqués</w:t>
      </w:r>
    </w:p>
    <w:p w:rsidR="00000000" w:rsidDel="00000000" w:rsidP="00000000" w:rsidRDefault="00000000" w:rsidRPr="00000000" w14:paraId="00000006">
      <w:pPr>
        <w:rPr>
          <w:rFonts w:ascii="Avenir" w:cs="Avenir" w:eastAsia="Avenir" w:hAnsi="Avenir"/>
          <w:b w:val="1"/>
          <w:bCs w:val="1"/>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Se </w:t>
      </w:r>
      <w:r w:rsidDel="00000000" w:rsidR="00000000" w:rsidRPr="00000000">
        <w:rPr>
          <w:sz w:val="22"/>
          <w:szCs w:val="22"/>
          <w:rtl w:val="0"/>
        </w:rPr>
        <w:t xml:space="preserve">apoyó </w:t>
      </w: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a 200 familias</w:t>
      </w:r>
      <w:r w:rsidDel="00000000" w:rsidR="00000000" w:rsidRPr="00000000">
        <w:rPr>
          <w:sz w:val="22"/>
          <w:szCs w:val="22"/>
          <w:rtl w:val="0"/>
        </w:rPr>
        <w:t xml:space="preserve"> y </w:t>
      </w: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participan la sociedad organizada, beneficiarios y Gobierno.</w:t>
      </w:r>
    </w:p>
    <w:p w:rsidR="00000000" w:rsidDel="00000000" w:rsidP="00000000" w:rsidRDefault="00000000" w:rsidRPr="00000000" w14:paraId="00000008">
      <w:pPr>
        <w:rPr>
          <w:rFonts w:ascii="Avenir" w:cs="Avenir" w:eastAsia="Avenir" w:hAnsi="Avenir"/>
        </w:rPr>
      </w:pPr>
      <w:r w:rsidDel="00000000" w:rsidR="00000000" w:rsidRPr="00000000">
        <w:rPr>
          <w:rtl w:val="0"/>
        </w:rPr>
      </w:r>
    </w:p>
    <w:p w:rsidR="00000000" w:rsidDel="00000000" w:rsidP="00000000" w:rsidRDefault="00000000" w:rsidRPr="00000000" w14:paraId="00000009">
      <w:pPr>
        <w:rPr>
          <w:rFonts w:ascii="Avenir" w:cs="Avenir" w:eastAsia="Avenir" w:hAnsi="Avenir"/>
        </w:rPr>
      </w:pPr>
      <w:r w:rsidDel="00000000" w:rsidR="00000000" w:rsidRPr="00000000">
        <w:rPr>
          <w:rFonts w:ascii="Avenir" w:cs="Avenir" w:eastAsia="Avenir" w:hAnsi="Avenir"/>
          <w:rtl w:val="0"/>
        </w:rPr>
        <w:t xml:space="preserve">El secretario de Desarrollo Social del Estado de Querétaro, Ernesto Mejía Botello, encabezó los trabajos de entrega de apoyos correspondientes al Programa de Coinversión Social en beneficio de familias del municipio de El Marqués, con el objetivo de mejorar sus condiciones de vida. </w:t>
      </w:r>
    </w:p>
    <w:p w:rsidR="00000000" w:rsidDel="00000000" w:rsidP="00000000" w:rsidRDefault="00000000" w:rsidRPr="00000000" w14:paraId="0000000A">
      <w:pPr>
        <w:rPr>
          <w:rFonts w:ascii="Avenir" w:cs="Avenir" w:eastAsia="Avenir" w:hAnsi="Avenir"/>
        </w:rPr>
      </w:pPr>
      <w:r w:rsidDel="00000000" w:rsidR="00000000" w:rsidRPr="00000000">
        <w:rPr>
          <w:rtl w:val="0"/>
        </w:rPr>
      </w:r>
    </w:p>
    <w:p w:rsidR="00000000" w:rsidDel="00000000" w:rsidP="00000000" w:rsidRDefault="00000000" w:rsidRPr="00000000" w14:paraId="0000000B">
      <w:pPr>
        <w:rPr>
          <w:rFonts w:ascii="Avenir" w:cs="Avenir" w:eastAsia="Avenir" w:hAnsi="Avenir"/>
        </w:rPr>
      </w:pPr>
      <w:r w:rsidDel="00000000" w:rsidR="00000000" w:rsidRPr="00000000">
        <w:rPr>
          <w:rFonts w:ascii="Avenir" w:cs="Avenir" w:eastAsia="Avenir" w:hAnsi="Avenir"/>
          <w:rtl w:val="0"/>
        </w:rPr>
        <w:t xml:space="preserve">“Reconozco que el programa de Coinversión, sin duda es un modelo de cómo la sociedad organizada, las familias y desde luego el Gobierno, cuando nos unimos hacemos posible que esa necesidad que se tiene en el hogar pueda ser cubierta. Nos da mucho gusto en la Secretaría de Desarrollo Social que hoy casi 200 familias van a tener una lavadora, una cafetera, entre otros”, explicó Mejía Botello. </w:t>
      </w:r>
    </w:p>
    <w:p w:rsidR="00000000" w:rsidDel="00000000" w:rsidP="00000000" w:rsidRDefault="00000000" w:rsidRPr="00000000" w14:paraId="0000000C">
      <w:pPr>
        <w:rPr>
          <w:rFonts w:ascii="Avenir" w:cs="Avenir" w:eastAsia="Avenir" w:hAnsi="Avenir"/>
        </w:rPr>
      </w:pPr>
      <w:r w:rsidDel="00000000" w:rsidR="00000000" w:rsidRPr="00000000">
        <w:rPr>
          <w:rtl w:val="0"/>
        </w:rPr>
      </w:r>
    </w:p>
    <w:p w:rsidR="00000000" w:rsidDel="00000000" w:rsidP="00000000" w:rsidRDefault="00000000" w:rsidRPr="00000000" w14:paraId="0000000D">
      <w:pPr>
        <w:rPr>
          <w:rFonts w:ascii="Avenir" w:cs="Avenir" w:eastAsia="Avenir" w:hAnsi="Avenir"/>
        </w:rPr>
      </w:pPr>
      <w:r w:rsidDel="00000000" w:rsidR="00000000" w:rsidRPr="00000000">
        <w:rPr>
          <w:rFonts w:ascii="Avenir" w:cs="Avenir" w:eastAsia="Avenir" w:hAnsi="Avenir"/>
          <w:rtl w:val="0"/>
        </w:rPr>
        <w:t xml:space="preserve">Durante el evento se llevó a cabo la entrega de los productos que las y los beneficiarios adquirieron gracias a la colaboración establecida entre la SEDESOQ y la Congregación Mariana Trinitaria; esta alianza estratégica representa un esfuerzo conjunto que permite ampliar de forma significativa el acceso de la población a diversos apoyos, fortaleciendo así las oportunidades disponibles para las familias participantes.</w:t>
      </w:r>
    </w:p>
    <w:p w:rsidR="00000000" w:rsidDel="00000000" w:rsidP="00000000" w:rsidRDefault="00000000" w:rsidRPr="00000000" w14:paraId="0000000E">
      <w:pPr>
        <w:rPr>
          <w:rFonts w:ascii="Avenir" w:cs="Avenir" w:eastAsia="Avenir" w:hAnsi="Avenir"/>
        </w:rPr>
      </w:pPr>
      <w:r w:rsidDel="00000000" w:rsidR="00000000" w:rsidRPr="00000000">
        <w:rPr>
          <w:rtl w:val="0"/>
        </w:rPr>
      </w:r>
    </w:p>
    <w:p w:rsidR="00000000" w:rsidDel="00000000" w:rsidP="00000000" w:rsidRDefault="00000000" w:rsidRPr="00000000" w14:paraId="0000000F">
      <w:pPr>
        <w:rPr>
          <w:rFonts w:ascii="Avenir" w:cs="Avenir" w:eastAsia="Avenir" w:hAnsi="Avenir"/>
        </w:rPr>
      </w:pPr>
      <w:r w:rsidDel="00000000" w:rsidR="00000000" w:rsidRPr="00000000">
        <w:rPr>
          <w:rFonts w:ascii="Avenir" w:cs="Avenir" w:eastAsia="Avenir" w:hAnsi="Avenir"/>
          <w:rtl w:val="0"/>
        </w:rPr>
        <w:t xml:space="preserve">Con est</w:t>
      </w:r>
      <w:r w:rsidDel="00000000" w:rsidR="00000000" w:rsidRPr="00000000">
        <w:rPr>
          <w:rtl w:val="0"/>
        </w:rPr>
        <w:t xml:space="preserve">e programa</w:t>
      </w:r>
      <w:r w:rsidDel="00000000" w:rsidR="00000000" w:rsidRPr="00000000">
        <w:rPr>
          <w:rFonts w:ascii="Avenir" w:cs="Avenir" w:eastAsia="Avenir" w:hAnsi="Avenir"/>
          <w:rtl w:val="0"/>
        </w:rPr>
        <w:t xml:space="preserve">, la SEDESOQ </w:t>
      </w:r>
      <w:r w:rsidDel="00000000" w:rsidR="00000000" w:rsidRPr="00000000">
        <w:rPr>
          <w:rtl w:val="0"/>
        </w:rPr>
        <w:t xml:space="preserve">mantiene </w:t>
      </w:r>
      <w:r w:rsidDel="00000000" w:rsidR="00000000" w:rsidRPr="00000000">
        <w:rPr>
          <w:rFonts w:ascii="Avenir" w:cs="Avenir" w:eastAsia="Avenir" w:hAnsi="Avenir"/>
          <w:rtl w:val="0"/>
        </w:rPr>
        <w:t xml:space="preserve">su compromiso de trabajar de forma coordinada y permanente junto a diversas instituciones y organizaciones</w:t>
      </w:r>
      <w:r w:rsidDel="00000000" w:rsidR="00000000" w:rsidRPr="00000000">
        <w:rPr>
          <w:rtl w:val="0"/>
        </w:rPr>
        <w:t xml:space="preserve">, para impulsar </w:t>
      </w:r>
      <w:r w:rsidDel="00000000" w:rsidR="00000000" w:rsidRPr="00000000">
        <w:rPr>
          <w:rFonts w:ascii="Avenir" w:cs="Avenir" w:eastAsia="Avenir" w:hAnsi="Avenir"/>
          <w:rtl w:val="0"/>
        </w:rPr>
        <w:t xml:space="preserve">la generación de mayores oportunidades y beneficios orientados a fortalecer el desarrollo integral de las </w:t>
      </w:r>
      <w:r w:rsidDel="00000000" w:rsidR="00000000" w:rsidRPr="00000000">
        <w:rPr>
          <w:rtl w:val="0"/>
        </w:rPr>
        <w:t xml:space="preserve">y los </w:t>
      </w:r>
      <w:r w:rsidDel="00000000" w:rsidR="00000000" w:rsidRPr="00000000">
        <w:rPr>
          <w:rFonts w:ascii="Avenir" w:cs="Avenir" w:eastAsia="Avenir" w:hAnsi="Avenir"/>
          <w:rtl w:val="0"/>
        </w:rPr>
        <w:t xml:space="preserve">queretan</w:t>
      </w:r>
      <w:r w:rsidDel="00000000" w:rsidR="00000000" w:rsidRPr="00000000">
        <w:rPr>
          <w:rtl w:val="0"/>
        </w:rPr>
        <w:t xml:space="preserve">os. </w:t>
      </w:r>
      <w:r w:rsidDel="00000000" w:rsidR="00000000" w:rsidRPr="00000000">
        <w:rPr>
          <w:rtl w:val="0"/>
        </w:rPr>
      </w:r>
    </w:p>
    <w:p w:rsidR="00000000" w:rsidDel="00000000" w:rsidP="00000000" w:rsidRDefault="00000000" w:rsidRPr="00000000" w14:paraId="00000010">
      <w:pPr>
        <w:rPr>
          <w:rFonts w:ascii="Avenir" w:cs="Avenir" w:eastAsia="Avenir" w:hAnsi="Avenir"/>
        </w:rPr>
      </w:pPr>
      <w:r w:rsidDel="00000000" w:rsidR="00000000" w:rsidRPr="00000000">
        <w:rPr>
          <w:rtl w:val="0"/>
        </w:rPr>
      </w:r>
    </w:p>
    <w:sectPr>
      <w:headerReference r:id="rId7" w:type="default"/>
      <w:footerReference r:id="rId8"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Georgia"/>
  <w:font w:name="Courier New"/>
  <w:font w:name="Noto Sans Symbols">
    <w:embedRegular w:fontKey="{00000000-0000-0000-0000-000000000000}" r:id="rId1" w:subsetted="0"/>
    <w:embedBold w:fontKey="{00000000-0000-0000-0000-000000000000}" r:id="rId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-476249</wp:posOffset>
          </wp:positionV>
          <wp:extent cx="3067050" cy="1085850"/>
          <wp:effectExtent b="0" l="0" r="0" t="0"/>
          <wp:wrapNone/>
          <wp:docPr id="586152204"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586152203"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0" y="0"/>
                          <a:chExt cx="3296285" cy="1259840"/>
                        </a:xfrm>
                      </wpg:grpSpPr>
                      <wps:wsp>
                        <wps:cNvSpPr/>
                        <wps:cNvPr id="3" name="Shape 3"/>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5" name="Shape 5"/>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586152203"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sz w:val="24"/>
        <w:szCs w:val="24"/>
        <w:lang w:val="es-MX"/>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left"/>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before="40" w:lineRule="auto"/>
    </w:pPr>
    <w:rPr>
      <w:rFonts w:ascii="Calibri" w:cs="Calibri" w:eastAsia="Calibri" w:hAnsi="Calibri"/>
      <w:color w:val="1e4d7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qFormat w:val="1"/>
    <w:pPr>
      <w:tabs>
        <w:tab w:val="center" w:pos="4419"/>
        <w:tab w:val="right" w:pos="8838"/>
      </w:tabs>
    </w:pPr>
  </w:style>
  <w:style w:type="paragraph" w:styleId="Piedepgina">
    <w:name w:val="footer"/>
    <w:basedOn w:val="Normal"/>
    <w:link w:val="PiedepginaCar"/>
    <w:uiPriority w:val="99"/>
    <w:unhideWhenUsed w:val="1"/>
    <w:qFormat w:val="1"/>
    <w:pPr>
      <w:tabs>
        <w:tab w:val="center" w:pos="4419"/>
        <w:tab w:val="right" w:pos="8838"/>
      </w:tabs>
    </w:pPr>
  </w:style>
  <w:style w:type="character" w:styleId="EncabezadoCar" w:customStyle="1">
    <w:name w:val="Encabezado Car"/>
    <w:basedOn w:val="Fuentedeprrafopredeter"/>
    <w:link w:val="Encabezado"/>
    <w:uiPriority w:val="99"/>
    <w:qFormat w:val="1"/>
  </w:style>
  <w:style w:type="character" w:styleId="PiedepginaCar" w:customStyle="1">
    <w:name w:val="Pie de página Car"/>
    <w:basedOn w:val="Fuentedeprrafopredeter"/>
    <w:link w:val="Piedepgina"/>
    <w:uiPriority w:val="99"/>
    <w:qFormat w:val="1"/>
  </w:style>
  <w:style w:type="paragraph" w:styleId="Prrafodelista">
    <w:name w:val="List Paragraph"/>
    <w:basedOn w:val="Normal"/>
    <w:uiPriority w:val="34"/>
    <w:qFormat w:val="1"/>
    <w:pPr>
      <w:spacing w:after="160" w:line="259" w:lineRule="auto"/>
      <w:ind w:left="720"/>
      <w:contextualSpacing w:val="1"/>
    </w:pPr>
    <w:rPr>
      <w:rFonts w:ascii="Calibri" w:eastAsia="Calibri" w:hAnsi="Calibri"/>
      <w:sz w:val="22"/>
      <w:szCs w:val="22"/>
    </w:rPr>
  </w:style>
  <w:style w:type="paragraph" w:styleId="NormalWeb">
    <w:name w:val="Normal (Web)"/>
    <w:basedOn w:val="Normal"/>
    <w:uiPriority w:val="99"/>
    <w:semiHidden w:val="1"/>
    <w:unhideWhenUsed w:val="1"/>
    <w:rsid w:val="00604814"/>
    <w:rPr>
      <w:rFonts w:ascii="Times New Roman" w:cs="Times New Roman" w:hAnsi="Times New Roman"/>
    </w:rPr>
  </w:style>
  <w:style w:type="character" w:styleId="Ttulo1Car" w:customStyle="1">
    <w:name w:val="Título 1 Car"/>
    <w:basedOn w:val="Fuentedeprrafopredeter"/>
    <w:link w:val="Ttulo1"/>
    <w:uiPriority w:val="9"/>
    <w:rsid w:val="00CF72B4"/>
    <w:rPr>
      <w:rFonts w:ascii="Times New Roman" w:cs="Times New Roman" w:eastAsia="Times New Roman" w:hAnsi="Times New Roman"/>
      <w:b w:val="1"/>
      <w:bCs w:val="1"/>
      <w:kern w:val="36"/>
      <w:sz w:val="48"/>
      <w:szCs w:val="48"/>
    </w:rPr>
  </w:style>
  <w:style w:type="character" w:styleId="Fuerte">
    <w:name w:val="Strong"/>
    <w:basedOn w:val="Fuentedeprrafopredeter"/>
    <w:uiPriority w:val="22"/>
    <w:qFormat w:val="1"/>
    <w:rsid w:val="00CF72B4"/>
    <w:rPr>
      <w:b w:val="1"/>
      <w:bCs w:val="1"/>
    </w:rPr>
  </w:style>
  <w:style w:type="character" w:styleId="apple-converted-space" w:customStyle="1">
    <w:name w:val="apple-converted-space"/>
    <w:basedOn w:val="Fuentedeprrafopredeter"/>
    <w:rsid w:val="00CF72B4"/>
  </w:style>
  <w:style w:type="character" w:styleId="Ttulo3Car" w:customStyle="1">
    <w:name w:val="Título 3 Car"/>
    <w:basedOn w:val="Fuentedeprrafopredeter"/>
    <w:link w:val="Ttulo3"/>
    <w:uiPriority w:val="9"/>
    <w:semiHidden w:val="1"/>
    <w:rsid w:val="00EA580E"/>
    <w:rPr>
      <w:rFonts w:asciiTheme="majorHAnsi" w:cstheme="majorBidi" w:eastAsiaTheme="majorEastAsia" w:hAnsiTheme="majorHAnsi"/>
      <w:color w:val="1f4d78" w:themeColor="accent1" w:themeShade="00007F"/>
      <w:sz w:val="24"/>
      <w:szCs w:val="24"/>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LIsiUgmbXRu7L1leNvE8yusOUQ==">CgMxLjA4AHIhMXVUMU5xM1Q4VzN1QWNPRldxV293dXhDRUdnaWZKS1J1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2026-10-03T17:47:00Z</dcterms:created>
  <dc:creator>Espinosa Esparza, Alberto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2058-12.1.0.27458</vt:lpwstr>
  </property>
  <property fmtid="{D5CDD505-2E9C-101B-9397-08002B2CF9AE}" pid="4" name="ICV">
    <vt:lpwstr>76AD0FDB640B4539820D3739F85D630B_12</vt:lpwstr>
  </property>
</Properties>
</file>