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6"/>
          <w:szCs w:val="26"/>
        </w:rPr>
      </w:pPr>
      <w:r w:rsidDel="00000000" w:rsidR="00000000" w:rsidRPr="00000000">
        <w:rPr>
          <w:rtl w:val="0"/>
        </w:rPr>
      </w:r>
    </w:p>
    <w:p w:rsidR="00000000" w:rsidDel="00000000" w:rsidP="00000000" w:rsidRDefault="00000000" w:rsidRPr="00000000" w14:paraId="00000002">
      <w:pPr>
        <w:jc w:val="right"/>
        <w:rPr>
          <w:sz w:val="22"/>
          <w:szCs w:val="22"/>
        </w:rPr>
      </w:pPr>
      <w:r w:rsidDel="00000000" w:rsidR="00000000" w:rsidRPr="00000000">
        <w:rPr>
          <w:sz w:val="22"/>
          <w:szCs w:val="22"/>
          <w:rtl w:val="0"/>
        </w:rPr>
        <w:t xml:space="preserve">Querétaro, Qro., 4 de octubre de 2026</w:t>
      </w:r>
    </w:p>
    <w:p w:rsidR="00000000" w:rsidDel="00000000" w:rsidP="00000000" w:rsidRDefault="00000000" w:rsidRPr="00000000" w14:paraId="00000003">
      <w:pPr>
        <w:jc w:val="right"/>
        <w:rPr>
          <w:sz w:val="22"/>
          <w:szCs w:val="22"/>
        </w:rPr>
      </w:pPr>
      <w:r w:rsidDel="00000000" w:rsidR="00000000" w:rsidRPr="00000000">
        <w:rPr>
          <w:rtl w:val="0"/>
        </w:rPr>
      </w:r>
    </w:p>
    <w:p w:rsidR="00000000" w:rsidDel="00000000" w:rsidP="00000000" w:rsidRDefault="00000000" w:rsidRPr="00000000" w14:paraId="00000004">
      <w:pPr>
        <w:jc w:val="right"/>
        <w:rPr>
          <w:sz w:val="22"/>
          <w:szCs w:val="22"/>
        </w:rPr>
      </w:pPr>
      <w:r w:rsidDel="00000000" w:rsidR="00000000" w:rsidRPr="00000000">
        <w:rPr>
          <w:rtl w:val="0"/>
        </w:rPr>
      </w:r>
    </w:p>
    <w:p w:rsidR="00000000" w:rsidDel="00000000" w:rsidP="00000000" w:rsidRDefault="00000000" w:rsidRPr="00000000" w14:paraId="00000005">
      <w:pPr>
        <w:jc w:val="center"/>
        <w:rPr>
          <w:b w:val="1"/>
          <w:bCs w:val="1"/>
          <w:sz w:val="26"/>
          <w:szCs w:val="26"/>
        </w:rPr>
      </w:pPr>
      <w:r w:rsidDel="00000000" w:rsidR="00000000" w:rsidRPr="00000000">
        <w:rPr>
          <w:b w:val="1"/>
          <w:bCs w:val="1"/>
          <w:sz w:val="26"/>
          <w:szCs w:val="26"/>
          <w:rtl w:val="0"/>
        </w:rPr>
        <w:t xml:space="preserve">BOLETÍN SESA 411/26</w:t>
      </w:r>
    </w:p>
    <w:p w:rsidR="00000000" w:rsidDel="00000000" w:rsidP="00000000" w:rsidRDefault="00000000" w:rsidRPr="00000000" w14:paraId="00000006">
      <w:pPr>
        <w:jc w:val="center"/>
        <w:rPr>
          <w:b w:val="1"/>
          <w:bCs w:val="1"/>
          <w:sz w:val="26"/>
          <w:szCs w:val="26"/>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b w:val="1"/>
          <w:bCs w:val="1"/>
          <w:sz w:val="26"/>
          <w:szCs w:val="26"/>
          <w:rtl w:val="0"/>
        </w:rPr>
        <w:t xml:space="preserve">Alerta COFEPRIS sobre</w:t>
      </w:r>
      <w:r w:rsidDel="00000000" w:rsidR="00000000" w:rsidRPr="00000000">
        <w:rPr>
          <w:rtl w:val="0"/>
        </w:rPr>
        <w:t xml:space="preserve"> </w:t>
      </w:r>
      <w:r w:rsidDel="00000000" w:rsidR="00000000" w:rsidRPr="00000000">
        <w:rPr>
          <w:b w:val="1"/>
          <w:bCs w:val="1"/>
          <w:sz w:val="26"/>
          <w:szCs w:val="26"/>
          <w:rtl w:val="0"/>
        </w:rPr>
        <w:t xml:space="preserve">la adulteración de Granulox frasco aerosol con 12 mL.</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357"/>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Se desconocen las condiciones de manipulación, almacenamiento y transporte a las que fue sometido durante la cadena de distribución.</w:t>
      </w:r>
      <w:r w:rsidDel="00000000" w:rsidR="00000000" w:rsidRPr="00000000">
        <w:rPr>
          <w:rtl w:val="0"/>
        </w:rPr>
      </w:r>
    </w:p>
    <w:p w:rsidR="00000000" w:rsidDel="00000000" w:rsidP="00000000" w:rsidRDefault="00000000" w:rsidRPr="00000000" w14:paraId="0000000A">
      <w:pPr>
        <w:spacing w:after="240" w:before="240" w:lineRule="auto"/>
        <w:rPr/>
      </w:pPr>
      <w:r w:rsidDel="00000000" w:rsidR="00000000" w:rsidRPr="00000000">
        <w:rPr>
          <w:rtl w:val="0"/>
        </w:rPr>
        <w:t xml:space="preserve">La Secretaría de Salud (SESA) del estado de Querétaro informa que la Comisión Federal para la Protección contra Riesgos Sanitarios (COFEPRIS) emite una Alerta Sanitaria sobre la adulteración del producto Granulox (Aerosol para tratamiento de heridas), en presentación caja con frasco aerosol con 12 mL.</w:t>
      </w:r>
    </w:p>
    <w:p w:rsidR="00000000" w:rsidDel="00000000" w:rsidP="00000000" w:rsidRDefault="00000000" w:rsidRPr="00000000" w14:paraId="0000000B">
      <w:pPr>
        <w:spacing w:after="240" w:before="240" w:lineRule="auto"/>
        <w:rPr/>
      </w:pPr>
      <w:r w:rsidDel="00000000" w:rsidR="00000000" w:rsidRPr="00000000">
        <w:rPr>
          <w:rtl w:val="0"/>
        </w:rPr>
        <w:t xml:space="preserve">Se emite con base en el análisis técnico-documental de la información presentada por Medic Manage, S.A. de C.V., titular del registro sanitario, quien informó sobre la detección de la modificación de la fecha de caducidad del producto Granulox (Aerosol para tratamiento de heridas), correspondiente al número de lote 16115143. Dicho lote fue comercializado en México con fecha de caducidad original 2019-11 y posteriormente se identificó con la fecha de caducidad 2026-12.</w:t>
      </w:r>
    </w:p>
    <w:p w:rsidR="00000000" w:rsidDel="00000000" w:rsidP="00000000" w:rsidRDefault="00000000" w:rsidRPr="00000000" w14:paraId="0000000C">
      <w:pPr>
        <w:spacing w:after="240" w:before="240" w:lineRule="auto"/>
        <w:rPr/>
      </w:pPr>
      <w:r w:rsidDel="00000000" w:rsidR="00000000" w:rsidRPr="00000000">
        <w:rPr>
          <w:rtl w:val="0"/>
        </w:rPr>
        <w:t xml:space="preserve">El uso de Granulox con las características descritas representa un riesgo para la salud, ya que se desconocen las condiciones de manipulación, almacenamiento y transporte a las que fue sometido durante la cadena de distribución. Por lo que no se pueden garantizar las condiciones necesarias para preservar su composición, función y, en algunos casos, esterilidad, comprometiendo su seguridad y eficacia.</w:t>
      </w:r>
    </w:p>
    <w:p w:rsidR="00000000" w:rsidDel="00000000" w:rsidP="00000000" w:rsidRDefault="00000000" w:rsidRPr="00000000" w14:paraId="0000000D">
      <w:pPr>
        <w:spacing w:after="240" w:before="240" w:lineRule="auto"/>
        <w:rPr/>
      </w:pPr>
      <w:r w:rsidDel="00000000" w:rsidR="00000000" w:rsidRPr="00000000">
        <w:rPr>
          <w:rtl w:val="0"/>
        </w:rPr>
        <w:t xml:space="preserve">Por lo anterior, COFEPRIS emite las siguientes recomendaciones a la población en general:</w:t>
      </w:r>
    </w:p>
    <w:p w:rsidR="00000000" w:rsidDel="00000000" w:rsidP="00000000" w:rsidRDefault="00000000" w:rsidRPr="00000000" w14:paraId="0000000E">
      <w:pPr>
        <w:spacing w:after="240" w:before="240" w:lineRule="auto"/>
        <w:rPr/>
      </w:pPr>
      <w:r w:rsidDel="00000000" w:rsidR="00000000" w:rsidRPr="00000000">
        <w:rPr>
          <w:rtl w:val="0"/>
        </w:rPr>
        <w:t xml:space="preserve">● Si identifica el dispositivo médico Granulox (Aerosol para tratamiento de heridas) con el número de lote 16115143 y cualquier fecha de caducidad, no adquirirlo ni utilizarlo. De contar con información sobre su posible comercialización, realizar la denuncia sanitaria correspondiente.</w:t>
      </w:r>
    </w:p>
    <w:p w:rsidR="00000000" w:rsidDel="00000000" w:rsidP="00000000" w:rsidRDefault="00000000" w:rsidRPr="00000000" w14:paraId="0000000F">
      <w:pPr>
        <w:spacing w:after="240" w:before="240" w:lineRule="auto"/>
        <w:rPr/>
      </w:pPr>
      <w:r w:rsidDel="00000000" w:rsidR="00000000" w:rsidRPr="00000000">
        <w:rPr>
          <w:rtl w:val="0"/>
        </w:rPr>
        <w:t xml:space="preserve">● No adquirir, consumir ni utilizar medicamentos comercializados en la vía pública (tianguis, mercados y cualquier otro establecimiento informal).</w:t>
      </w:r>
    </w:p>
    <w:p w:rsidR="00000000" w:rsidDel="00000000" w:rsidP="00000000" w:rsidRDefault="00000000" w:rsidRPr="00000000" w14:paraId="00000010">
      <w:pPr>
        <w:spacing w:after="240" w:before="240" w:lineRule="auto"/>
        <w:rPr/>
      </w:pPr>
      <w:r w:rsidDel="00000000" w:rsidR="00000000" w:rsidRPr="00000000">
        <w:rPr>
          <w:rtl w:val="0"/>
        </w:rPr>
        <w:t xml:space="preserve">● En caso de adquirir medicamentos en plataformas de comercio electrónico, sitios web y aplicaciones móviles, revisar que el establecimiento cuente con domicilio físico en territorio nacional, así como con licencia sanitaria y aviso de funcionamiento, emitidos por COFEPRIS.</w:t>
      </w:r>
    </w:p>
    <w:p w:rsidR="00000000" w:rsidDel="00000000" w:rsidP="00000000" w:rsidRDefault="00000000" w:rsidRPr="00000000" w14:paraId="00000011">
      <w:pPr>
        <w:spacing w:after="240" w:before="240" w:lineRule="auto"/>
        <w:rPr/>
      </w:pPr>
      <w:r w:rsidDel="00000000" w:rsidR="00000000" w:rsidRPr="00000000">
        <w:rPr>
          <w:rtl w:val="0"/>
        </w:rPr>
        <w:t xml:space="preserve">● En caso de observar o detectar incidentes adversos asociados con el uso de este producto, reportar en el Sistema de Notificación de Incidentes Adversos de Dispositivos Médicos en el enlace de Tecnovigilancia.</w:t>
      </w:r>
    </w:p>
    <w:p w:rsidR="00000000" w:rsidDel="00000000" w:rsidP="00000000" w:rsidRDefault="00000000" w:rsidRPr="00000000" w14:paraId="00000012">
      <w:pPr>
        <w:spacing w:after="240" w:before="240" w:lineRule="auto"/>
        <w:rPr/>
      </w:pPr>
      <w:r w:rsidDel="00000000" w:rsidR="00000000" w:rsidRPr="00000000">
        <w:rPr>
          <w:rtl w:val="0"/>
        </w:rPr>
        <w:t xml:space="preserve">Profesionales de la salud, distribuidores y farmacias:</w:t>
      </w:r>
    </w:p>
    <w:p w:rsidR="00000000" w:rsidDel="00000000" w:rsidP="00000000" w:rsidRDefault="00000000" w:rsidRPr="00000000" w14:paraId="00000013">
      <w:pPr>
        <w:spacing w:after="240" w:before="240" w:lineRule="auto"/>
        <w:rPr/>
      </w:pPr>
      <w:r w:rsidDel="00000000" w:rsidR="00000000" w:rsidRPr="00000000">
        <w:rPr>
          <w:rtl w:val="0"/>
        </w:rPr>
        <w:t xml:space="preserve">● En caso de identificar en almacén el producto Granulox (Aerosol para tratamiento de heridas) con el número de lote 16115143 y cualquier fecha de caducidad, proceder a su inmovilización y realizar la denuncia sanitaria correspondiente.</w:t>
      </w:r>
    </w:p>
    <w:p w:rsidR="00000000" w:rsidDel="00000000" w:rsidP="00000000" w:rsidRDefault="00000000" w:rsidRPr="00000000" w14:paraId="00000014">
      <w:pPr>
        <w:spacing w:after="240" w:before="240" w:lineRule="auto"/>
        <w:rPr/>
      </w:pPr>
      <w:r w:rsidDel="00000000" w:rsidR="00000000" w:rsidRPr="00000000">
        <w:rPr>
          <w:rtl w:val="0"/>
        </w:rPr>
        <w:t xml:space="preserve">● Adquirir dispositivos médicos únicamente a través de distribuidores autorizados y validados por la empresa titular del registro sanitario.</w:t>
      </w:r>
    </w:p>
    <w:p w:rsidR="00000000" w:rsidDel="00000000" w:rsidP="00000000" w:rsidRDefault="00000000" w:rsidRPr="00000000" w14:paraId="00000015">
      <w:pPr>
        <w:spacing w:after="240" w:before="240" w:lineRule="auto"/>
        <w:rPr/>
      </w:pPr>
      <w:r w:rsidDel="00000000" w:rsidR="00000000" w:rsidRPr="00000000">
        <w:rPr>
          <w:rtl w:val="0"/>
        </w:rPr>
        <w:t xml:space="preserve">● Contar con la documentación que acredite la adquisición y comercialización legal de los productos, incluidas las facturas correspondientes.</w:t>
      </w:r>
    </w:p>
    <w:p w:rsidR="00000000" w:rsidDel="00000000" w:rsidP="00000000" w:rsidRDefault="00000000" w:rsidRPr="00000000" w14:paraId="00000016">
      <w:pPr>
        <w:spacing w:after="240" w:before="240" w:lineRule="auto"/>
        <w:rPr/>
      </w:pPr>
      <w:r w:rsidDel="00000000" w:rsidR="00000000" w:rsidRPr="00000000">
        <w:rPr>
          <w:rtl w:val="0"/>
        </w:rPr>
        <w:t xml:space="preserve">● En caso de existir dudas sobre la originalidad de la documentación o del producto anteriormente mencionado, contactar al titular del registro sanitario para su confirmación.</w:t>
      </w:r>
    </w:p>
    <w:p w:rsidR="00000000" w:rsidDel="00000000" w:rsidP="00000000" w:rsidRDefault="00000000" w:rsidRPr="00000000" w14:paraId="00000017">
      <w:pPr>
        <w:rPr/>
      </w:pPr>
      <w:r w:rsidDel="00000000" w:rsidR="00000000" w:rsidRPr="00000000">
        <w:rPr>
          <w:rtl w:val="0"/>
        </w:rPr>
      </w:r>
    </w:p>
    <w:sectPr>
      <w:headerReference r:id="rId7" w:type="default"/>
      <w:footerReference r:id="rId8" w:type="default"/>
      <w:pgSz w:h="15840" w:w="12240" w:orient="portrait"/>
      <w:pgMar w:bottom="1417" w:top="1985" w:left="1843" w:right="1467"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Noto Sans Symbols">
    <w:embedRegular w:fontKey="{00000000-0000-0000-0000-000000000000}" r:id="rId1" w:subsetted="0"/>
    <w:embedBold w:fontKey="{00000000-0000-0000-0000-000000000000}" r:id="rId2"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1433195</wp:posOffset>
          </wp:positionH>
          <wp:positionV relativeFrom="paragraph">
            <wp:posOffset>-476247</wp:posOffset>
          </wp:positionV>
          <wp:extent cx="3067050" cy="1085850"/>
          <wp:effectExtent b="0" l="0" r="0" t="0"/>
          <wp:wrapNone/>
          <wp:docPr id="2115392686"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2115392685"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3697850" y="3150075"/>
                          <a:chExt cx="3296300" cy="1259850"/>
                        </a:xfrm>
                      </wpg:grpSpPr>
                      <wps:wsp>
                        <wps:cNvSpPr/>
                        <wps:cNvPr id="3" name="Shape 3"/>
                        <wps:spPr>
                          <a:xfrm>
                            <a:off x="3697850" y="3150075"/>
                            <a:ext cx="3296300" cy="125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697858" y="3150080"/>
                            <a:ext cx="3296285" cy="1259840"/>
                            <a:chOff x="0" y="0"/>
                            <a:chExt cx="3296285" cy="1259840"/>
                          </a:xfrm>
                        </wpg:grpSpPr>
                        <wps:wsp>
                          <wps:cNvSpPr/>
                          <wps:cNvPr id="5" name="Shape 5"/>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6" name="Shape 6"/>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7" name="Shape 7"/>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-504188</wp:posOffset>
              </wp:positionV>
              <wp:extent cx="3296285" cy="1259840"/>
              <wp:effectExtent b="0" l="0" r="0" t="0"/>
              <wp:wrapSquare wrapText="bothSides" distB="0" distT="0" distL="114300" distR="114300"/>
              <wp:docPr id="2115392685"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venir" w:cs="Avenir" w:eastAsia="Avenir" w:hAnsi="Avenir"/>
        <w:sz w:val="24"/>
        <w:szCs w:val="24"/>
        <w:lang w:val="es-MX"/>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9831A4"/>
    <w:pPr>
      <w:tabs>
        <w:tab w:val="center" w:pos="4419"/>
        <w:tab w:val="right" w:pos="8838"/>
      </w:tabs>
    </w:pPr>
  </w:style>
  <w:style w:type="character" w:styleId="EncabezadoCar" w:customStyle="1">
    <w:name w:val="Encabezado Car"/>
    <w:basedOn w:val="Fuentedeprrafopredeter"/>
    <w:link w:val="Encabezado"/>
    <w:uiPriority w:val="99"/>
    <w:rsid w:val="009831A4"/>
  </w:style>
  <w:style w:type="paragraph" w:styleId="Piedepgina">
    <w:name w:val="footer"/>
    <w:basedOn w:val="Normal"/>
    <w:link w:val="PiedepginaCar"/>
    <w:uiPriority w:val="99"/>
    <w:unhideWhenUsed w:val="1"/>
    <w:rsid w:val="009831A4"/>
    <w:pPr>
      <w:tabs>
        <w:tab w:val="center" w:pos="4419"/>
        <w:tab w:val="right" w:pos="8838"/>
      </w:tabs>
    </w:pPr>
  </w:style>
  <w:style w:type="character" w:styleId="PiedepginaCar" w:customStyle="1">
    <w:name w:val="Pie de página Car"/>
    <w:basedOn w:val="Fuentedeprrafopredeter"/>
    <w:link w:val="Piedepgina"/>
    <w:uiPriority w:val="99"/>
    <w:rsid w:val="009831A4"/>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Bullet List,4 Párrafo de l,de"/>
    <w:basedOn w:val="Normal"/>
    <w:link w:val="PrrafodelistaCar"/>
    <w:uiPriority w:val="34"/>
    <w:qFormat w:val="1"/>
    <w:rsid w:val="009831A4"/>
    <w:pPr>
      <w:spacing w:after="160" w:line="259" w:lineRule="auto"/>
      <w:ind w:left="720"/>
      <w:contextualSpacing w:val="1"/>
    </w:pPr>
    <w:rPr>
      <w:rFonts w:ascii="Calibri" w:eastAsia="Calibri" w:hAnsi="Calibri"/>
      <w:sz w:val="22"/>
      <w:szCs w:val="22"/>
    </w:rPr>
  </w:style>
  <w:style w:type="character" w:styleId="PrrafodelistaCar" w:customStyle="1">
    <w:name w:val="Párrafo de lista Car"/>
    <w:aliases w:val="lp1 Car,List Paragraph1 Car,viñetas Car,4 Párrafo de lista Car,Figuras Car,Dot pt Car,No Spacing1 Car,List Paragraph Char Char Char Car,Indicator Text Car,Numbered Para 1 Car,DH1 Car,Colorful List - Accent 11 Car,Bullet 1 Car,de Car"/>
    <w:link w:val="Prrafodelista"/>
    <w:uiPriority w:val="34"/>
    <w:qFormat w:val="1"/>
    <w:locked w:val="1"/>
    <w:rsid w:val="00451821"/>
    <w:rPr>
      <w:rFonts w:ascii="Calibri" w:eastAsia="Calibri" w:hAnsi="Calibri"/>
      <w:sz w:val="22"/>
      <w:szCs w:val="22"/>
    </w:rPr>
  </w:style>
  <w:style w:type="character" w:styleId="apple-converted-space" w:customStyle="1">
    <w:name w:val="apple-converted-space"/>
    <w:basedOn w:val="Fuentedeprrafopredeter"/>
    <w:rsid w:val="000F0105"/>
  </w:style>
  <w:style w:type="character" w:styleId="nfasis">
    <w:name w:val="Emphasis"/>
    <w:basedOn w:val="Fuentedeprrafopredeter"/>
    <w:uiPriority w:val="20"/>
    <w:qFormat w:val="1"/>
    <w:rsid w:val="000F0105"/>
    <w:rPr>
      <w:i w:val="1"/>
      <w:iCs w:val="1"/>
    </w:rPr>
  </w:style>
  <w:style w:type="character" w:styleId="Hipervnculo">
    <w:name w:val="Hyperlink"/>
    <w:basedOn w:val="Fuentedeprrafopredeter"/>
    <w:uiPriority w:val="99"/>
    <w:unhideWhenUsed w:val="1"/>
    <w:qFormat w:val="1"/>
    <w:rsid w:val="00F37C95"/>
    <w:rPr>
      <w:color w:val="0563c1" w:themeColor="hyperlink"/>
      <w:u w:val="single"/>
    </w:rPr>
  </w:style>
  <w:style w:type="paragraph" w:styleId="p1" w:customStyle="1">
    <w:name w:val="p1"/>
    <w:basedOn w:val="Normal"/>
    <w:rsid w:val="005D6011"/>
    <w:pPr>
      <w:jc w:val="left"/>
    </w:pPr>
    <w:rPr>
      <w:rFonts w:ascii=".AppleSystemUIFont" w:cs="Times New Roman" w:hAnsi=".AppleSystemUIFont" w:eastAsiaTheme="minorEastAsia"/>
      <w:sz w:val="26"/>
      <w:szCs w:val="26"/>
      <w:lang w:eastAsia="es-MX"/>
    </w:rPr>
  </w:style>
  <w:style w:type="paragraph" w:styleId="p2" w:customStyle="1">
    <w:name w:val="p2"/>
    <w:basedOn w:val="Normal"/>
    <w:rsid w:val="005D6011"/>
    <w:pPr>
      <w:jc w:val="left"/>
    </w:pPr>
    <w:rPr>
      <w:rFonts w:ascii=".AppleSystemUIFont" w:cs="Times New Roman" w:hAnsi=".AppleSystemUIFont" w:eastAsiaTheme="minorEastAsia"/>
      <w:sz w:val="26"/>
      <w:szCs w:val="26"/>
      <w:lang w:eastAsia="es-MX"/>
    </w:rPr>
  </w:style>
  <w:style w:type="character" w:styleId="s1" w:customStyle="1">
    <w:name w:val="s1"/>
    <w:basedOn w:val="Fuentedeprrafopredeter"/>
    <w:rsid w:val="005D6011"/>
    <w:rPr>
      <w:rFonts w:ascii="UICTFontTextStyleBody" w:hAnsi="UICTFontTextStyleBody" w:hint="default"/>
      <w:b w:val="0"/>
      <w:bCs w:val="0"/>
      <w:i w:val="0"/>
      <w:iCs w:val="0"/>
      <w:sz w:val="26"/>
      <w:szCs w:val="26"/>
    </w:rPr>
  </w:style>
  <w:style w:type="character" w:styleId="s2" w:customStyle="1">
    <w:name w:val="s2"/>
    <w:basedOn w:val="Fuentedeprrafopredeter"/>
    <w:rsid w:val="005D6011"/>
    <w:rPr>
      <w:rFonts w:ascii="UICTFontTextStyleEmphasizedBody" w:hAnsi="UICTFontTextStyleEmphasizedBody" w:hint="default"/>
      <w:b w:val="1"/>
      <w:bCs w:val="1"/>
      <w:i w:val="0"/>
      <w:iCs w:val="0"/>
      <w:sz w:val="26"/>
      <w:szCs w:val="26"/>
    </w:rPr>
  </w:style>
  <w:style w:type="character" w:styleId="Fuerte">
    <w:name w:val="Strong"/>
    <w:basedOn w:val="Fuentedeprrafopredeter"/>
    <w:uiPriority w:val="22"/>
    <w:qFormat w:val="1"/>
    <w:rsid w:val="00E762A2"/>
    <w:rPr>
      <w:b w:val="1"/>
      <w:bCs w:val="1"/>
    </w:rPr>
  </w:style>
  <w:style w:type="paragraph" w:styleId="Textoindependiente">
    <w:name w:val="Body Text"/>
    <w:basedOn w:val="Normal"/>
    <w:link w:val="TextoindependienteCar"/>
    <w:uiPriority w:val="1"/>
    <w:qFormat w:val="1"/>
    <w:rsid w:val="00351DCF"/>
    <w:pPr>
      <w:widowControl w:val="0"/>
      <w:autoSpaceDE w:val="0"/>
      <w:autoSpaceDN w:val="0"/>
      <w:jc w:val="left"/>
    </w:pPr>
    <w:rPr>
      <w:rFonts w:ascii="Arial MT" w:cs="Arial MT" w:eastAsia="Arial MT" w:hAnsi="Arial MT"/>
      <w:lang w:eastAsia="es-MX"/>
    </w:rPr>
  </w:style>
  <w:style w:type="character" w:styleId="TextoindependienteCar" w:customStyle="1">
    <w:name w:val="Texto independiente Car"/>
    <w:basedOn w:val="Fuentedeprrafopredeter"/>
    <w:link w:val="Textoindependiente"/>
    <w:uiPriority w:val="1"/>
    <w:rsid w:val="00351DCF"/>
    <w:rPr>
      <w:rFonts w:ascii="Arial MT" w:cs="Arial MT" w:eastAsia="Arial MT" w:hAnsi="Arial MT"/>
      <w:lang w:eastAsia="es-MX"/>
    </w:rPr>
  </w:style>
  <w:style w:type="paragraph" w:styleId="Yiv2444468468" w:customStyle="1">
    <w:name w:val="Yiv2444468468"/>
    <w:basedOn w:val="Normal"/>
    <w:rsid w:val="00700406"/>
    <w:pPr>
      <w:spacing w:after="100" w:before="100" w:line="276" w:lineRule="auto"/>
      <w:jc w:val="left"/>
    </w:pPr>
    <w:rPr>
      <w:rFonts w:ascii="Times New Roman" w:cs="Times New Roman" w:eastAsia="Times New Roman" w:hAnsi="Times New Roman"/>
      <w:sz w:val="22"/>
      <w:szCs w:val="20"/>
      <w:lang w:eastAsia="es-ES" w:val="es-ES"/>
    </w:rPr>
  </w:style>
  <w:style w:type="paragraph" w:styleId="NormalWeb">
    <w:name w:val="Normal (Web)"/>
    <w:basedOn w:val="Normal"/>
    <w:uiPriority w:val="99"/>
    <w:unhideWhenUsed w:val="1"/>
    <w:qFormat w:val="1"/>
    <w:rsid w:val="00943B71"/>
    <w:pPr>
      <w:spacing w:after="100" w:afterAutospacing="1" w:before="100" w:beforeAutospacing="1"/>
      <w:jc w:val="left"/>
    </w:pPr>
    <w:rPr>
      <w:rFonts w:ascii="Times New Roman" w:cs="Times New Roman" w:eastAsia="Times New Roman" w:hAnsi="Times New Roman"/>
      <w:lang w:eastAsia="es-MX"/>
    </w:rPr>
  </w:style>
  <w:style w:type="paragraph" w:styleId="Cuerpo" w:customStyle="1">
    <w:name w:val="Cuerpo"/>
    <w:rsid w:val="00B86F4F"/>
    <w:pPr>
      <w:pBdr>
        <w:top w:space="0" w:sz="0" w:val="nil"/>
        <w:left w:space="0" w:sz="0" w:val="nil"/>
        <w:bottom w:space="0" w:sz="0" w:val="nil"/>
        <w:right w:space="0" w:sz="0" w:val="nil"/>
        <w:between w:space="0" w:sz="0" w:val="nil"/>
        <w:bar w:space="0" w:sz="0" w:val="nil"/>
      </w:pBdr>
      <w:jc w:val="left"/>
    </w:pPr>
    <w:rPr>
      <w:rFonts w:ascii="Times New Roman" w:cs="Times New Roman" w:eastAsia="Times New Roman" w:hAnsi="Times New Roman"/>
      <w:color w:val="000000"/>
      <w:u w:color="000000"/>
      <w:bdr w:space="0" w:sz="0" w:val="nil"/>
      <w:lang w:eastAsia="es-ES" w:val="es-ES"/>
    </w:rPr>
  </w:style>
  <w:style w:type="paragraph" w:styleId="Textodeglobo">
    <w:name w:val="Balloon Text"/>
    <w:basedOn w:val="Normal"/>
    <w:link w:val="TextodegloboCar"/>
    <w:uiPriority w:val="99"/>
    <w:semiHidden w:val="1"/>
    <w:unhideWhenUsed w:val="1"/>
    <w:rsid w:val="00C1634D"/>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C1634D"/>
    <w:rPr>
      <w:rFonts w:ascii="Segoe UI" w:cs="Segoe UI" w:hAnsi="Segoe UI"/>
      <w:sz w:val="18"/>
      <w:szCs w:val="18"/>
    </w:rPr>
  </w:style>
  <w:style w:type="character" w:styleId="Ninguno" w:customStyle="1">
    <w:name w:val="Ninguno"/>
    <w:rsid w:val="001C3DD1"/>
    <w:rPr>
      <w:lang w:val="de-DE"/>
    </w:rPr>
  </w:style>
  <w:style w:type="paragraph" w:styleId="Textoindependiente3">
    <w:name w:val="Body Text 3"/>
    <w:basedOn w:val="Normal"/>
    <w:link w:val="Textoindependiente3Car"/>
    <w:uiPriority w:val="99"/>
    <w:semiHidden w:val="1"/>
    <w:unhideWhenUsed w:val="1"/>
    <w:rsid w:val="00E86767"/>
    <w:pPr>
      <w:spacing w:after="120"/>
    </w:pPr>
    <w:rPr>
      <w:sz w:val="16"/>
      <w:szCs w:val="16"/>
    </w:rPr>
  </w:style>
  <w:style w:type="character" w:styleId="Textoindependiente3Car" w:customStyle="1">
    <w:name w:val="Texto independiente 3 Car"/>
    <w:basedOn w:val="Fuentedeprrafopredeter"/>
    <w:link w:val="Textoindependiente3"/>
    <w:uiPriority w:val="99"/>
    <w:semiHidden w:val="1"/>
    <w:rsid w:val="00E86767"/>
    <w:rPr>
      <w:sz w:val="16"/>
      <w:szCs w:val="16"/>
    </w:rPr>
  </w:style>
  <w:style w:type="character" w:styleId="Mencinsinresolver1" w:customStyle="1">
    <w:name w:val="Mención sin resolver1"/>
    <w:basedOn w:val="Fuentedeprrafopredeter"/>
    <w:uiPriority w:val="99"/>
    <w:semiHidden w:val="1"/>
    <w:unhideWhenUsed w:val="1"/>
    <w:rsid w:val="00A3235F"/>
    <w:rPr>
      <w:color w:val="605e5c"/>
      <w:shd w:color="auto" w:fill="e1dfdd" w:val="clear"/>
    </w:rPr>
  </w:style>
  <w:style w:type="character" w:styleId="Mencinsinresolver2" w:customStyle="1">
    <w:name w:val="Mención sin resolver2"/>
    <w:basedOn w:val="Fuentedeprrafopredeter"/>
    <w:uiPriority w:val="99"/>
    <w:semiHidden w:val="1"/>
    <w:unhideWhenUsed w:val="1"/>
    <w:rsid w:val="00284C32"/>
    <w:rPr>
      <w:color w:val="605e5c"/>
      <w:shd w:color="auto" w:fill="e1dfdd" w:val="clear"/>
    </w:rPr>
  </w:style>
  <w:style w:type="character" w:styleId="Mencinsinresolver3" w:customStyle="1">
    <w:name w:val="Mención sin resolver3"/>
    <w:basedOn w:val="Fuentedeprrafopredeter"/>
    <w:uiPriority w:val="99"/>
    <w:semiHidden w:val="1"/>
    <w:unhideWhenUsed w:val="1"/>
    <w:rsid w:val="00F21928"/>
    <w:rPr>
      <w:color w:val="605e5c"/>
      <w:shd w:color="auto" w:fill="e1dfdd" w:val="clear"/>
    </w:rPr>
  </w:style>
  <w:style w:type="character" w:styleId="Mencinsinresolver4" w:customStyle="1">
    <w:name w:val="Mención sin resolver4"/>
    <w:basedOn w:val="Fuentedeprrafopredeter"/>
    <w:uiPriority w:val="99"/>
    <w:semiHidden w:val="1"/>
    <w:unhideWhenUsed w:val="1"/>
    <w:rsid w:val="0033594B"/>
    <w:rPr>
      <w:color w:val="605e5c"/>
      <w:shd w:color="auto" w:fill="e1dfdd" w:val="clear"/>
    </w:rPr>
  </w:style>
  <w:style w:type="paragraph" w:styleId="Sinespaciado">
    <w:name w:val="No Spacing"/>
    <w:uiPriority w:val="1"/>
    <w:qFormat w:val="1"/>
    <w:rsid w:val="00FA7C43"/>
    <w:pPr>
      <w:jc w:val="left"/>
    </w:pPr>
    <w:rPr>
      <w:rFonts w:ascii="Cambria" w:cs="Times New Roman" w:eastAsia="MS Mincho" w:hAnsi="Cambria"/>
      <w:lang w:val="es-ES_tradnl"/>
    </w:rPr>
  </w:style>
  <w:style w:type="character" w:styleId="bumpedfont15" w:customStyle="1">
    <w:name w:val="bumpedfont15"/>
    <w:qFormat w:val="1"/>
    <w:rsid w:val="007B42A6"/>
  </w:style>
  <w:style w:type="character" w:styleId="Mencinsinresolver5" w:customStyle="1">
    <w:name w:val="Mención sin resolver5"/>
    <w:basedOn w:val="Fuentedeprrafopredeter"/>
    <w:uiPriority w:val="99"/>
    <w:semiHidden w:val="1"/>
    <w:unhideWhenUsed w:val="1"/>
    <w:rsid w:val="00C12C4D"/>
    <w:rPr>
      <w:color w:val="605e5c"/>
      <w:shd w:color="auto" w:fill="e1dfdd" w:val="clear"/>
    </w:rPr>
  </w:style>
  <w:style w:type="character" w:styleId="Mencinsinresolver6" w:customStyle="1">
    <w:name w:val="Mención sin resolver6"/>
    <w:basedOn w:val="Fuentedeprrafopredeter"/>
    <w:uiPriority w:val="99"/>
    <w:semiHidden w:val="1"/>
    <w:unhideWhenUsed w:val="1"/>
    <w:rsid w:val="00FC5926"/>
    <w:rPr>
      <w:color w:val="605e5c"/>
      <w:shd w:color="auto" w:fill="e1dfdd" w:val="clear"/>
    </w:rPr>
  </w:style>
  <w:style w:type="character" w:styleId="ms-rtefontsize-3" w:customStyle="1">
    <w:name w:val="ms-rtefontsize-3"/>
    <w:basedOn w:val="Fuentedeprrafopredeter"/>
    <w:rsid w:val="0027281B"/>
  </w:style>
  <w:style w:type="character" w:styleId="Mencinsinresolver7" w:customStyle="1">
    <w:name w:val="Mención sin resolver7"/>
    <w:basedOn w:val="Fuentedeprrafopredeter"/>
    <w:uiPriority w:val="99"/>
    <w:semiHidden w:val="1"/>
    <w:unhideWhenUsed w:val="1"/>
    <w:rsid w:val="006A3A4C"/>
    <w:rPr>
      <w:color w:val="605e5c"/>
      <w:shd w:color="auto" w:fill="e1dfdd" w:val="clear"/>
    </w:rPr>
  </w:style>
  <w:style w:type="paragraph" w:styleId="letter-capitular" w:customStyle="1">
    <w:name w:val="letter-capitular"/>
    <w:basedOn w:val="Normal"/>
    <w:qFormat w:val="1"/>
    <w:rsid w:val="00D869E2"/>
    <w:pPr>
      <w:spacing w:after="100" w:afterAutospacing="1" w:before="100" w:beforeAutospacing="1"/>
      <w:jc w:val="left"/>
    </w:pPr>
    <w:rPr>
      <w:rFonts w:ascii="Times New Roman" w:cs="Times New Roman" w:eastAsia="Times New Roman" w:hAnsi="Times New Roman"/>
      <w:lang w:eastAsia="es-MX"/>
    </w:rPr>
  </w:style>
  <w:style w:type="character" w:styleId="notranslate" w:customStyle="1">
    <w:name w:val="notranslate"/>
    <w:rsid w:val="00A92438"/>
  </w:style>
  <w:style w:type="character" w:styleId="Mencinsinresolver8" w:customStyle="1">
    <w:name w:val="Mención sin resolver8"/>
    <w:basedOn w:val="Fuentedeprrafopredeter"/>
    <w:uiPriority w:val="99"/>
    <w:semiHidden w:val="1"/>
    <w:unhideWhenUsed w:val="1"/>
    <w:rsid w:val="0001152F"/>
    <w:rPr>
      <w:color w:val="605e5c"/>
      <w:shd w:color="auto" w:fill="e1dfdd" w:val="clear"/>
    </w:rPr>
  </w:style>
  <w:style w:type="character" w:styleId="hgkelc" w:customStyle="1">
    <w:name w:val="hgkelc"/>
    <w:basedOn w:val="Fuentedeprrafopredeter"/>
    <w:qFormat w:val="1"/>
    <w:rsid w:val="003659D6"/>
  </w:style>
  <w:style w:type="paragraph" w:styleId="yiv5047152278msonormal" w:customStyle="1">
    <w:name w:val="yiv5047152278msonormal"/>
    <w:basedOn w:val="Normal"/>
    <w:rsid w:val="007B28DB"/>
    <w:pPr>
      <w:spacing w:after="100" w:afterAutospacing="1" w:before="100" w:beforeAutospacing="1"/>
      <w:jc w:val="left"/>
    </w:pPr>
    <w:rPr>
      <w:rFonts w:ascii="Times New Roman" w:cs="Times New Roman" w:eastAsia="MS Mincho" w:hAnsi="Times New Roman"/>
      <w:lang w:eastAsia="es-ES_tradnl" w:val="es-ES_tradnl"/>
    </w:rPr>
  </w:style>
  <w:style w:type="character" w:styleId="Mencinsinresolver9" w:customStyle="1">
    <w:name w:val="Mención sin resolver9"/>
    <w:basedOn w:val="Fuentedeprrafopredeter"/>
    <w:uiPriority w:val="99"/>
    <w:semiHidden w:val="1"/>
    <w:unhideWhenUsed w:val="1"/>
    <w:rsid w:val="00FA1EBE"/>
    <w:rPr>
      <w:color w:val="605e5c"/>
      <w:shd w:color="auto" w:fill="e1dfdd" w:val="clear"/>
    </w:rPr>
  </w:style>
  <w:style w:type="paragraph" w:styleId="yiv8844660308msonormal" w:customStyle="1">
    <w:name w:val="yiv8844660308msonormal"/>
    <w:basedOn w:val="Normal"/>
    <w:qFormat w:val="1"/>
    <w:rsid w:val="00724693"/>
    <w:pPr>
      <w:spacing w:after="100" w:afterAutospacing="1" w:before="100" w:beforeAutospacing="1"/>
      <w:jc w:val="left"/>
    </w:pPr>
    <w:rPr>
      <w:rFonts w:ascii="Times New Roman" w:cs="Times New Roman" w:eastAsia="Times New Roman" w:hAnsi="Times New Roman"/>
      <w:lang w:eastAsia="es-ES_tradnl"/>
    </w:rPr>
  </w:style>
  <w:style w:type="paragraph" w:styleId="yiv8844660308gmail-msolistparagraph" w:customStyle="1">
    <w:name w:val="yiv8844660308gmail-msolistparagraph"/>
    <w:basedOn w:val="Normal"/>
    <w:qFormat w:val="1"/>
    <w:rsid w:val="00724693"/>
    <w:pPr>
      <w:spacing w:after="100" w:afterAutospacing="1" w:before="100" w:beforeAutospacing="1"/>
      <w:jc w:val="left"/>
    </w:pPr>
    <w:rPr>
      <w:rFonts w:ascii="Times New Roman" w:cs="Times New Roman" w:eastAsia="Times New Roman" w:hAnsi="Times New Roman"/>
      <w:lang w:eastAsia="es-ES_tradnl"/>
    </w:rPr>
  </w:style>
  <w:style w:type="paragraph" w:styleId="xmsonormal" w:customStyle="1">
    <w:name w:val="x_msonormal"/>
    <w:basedOn w:val="Normal"/>
    <w:uiPriority w:val="99"/>
    <w:rsid w:val="002F4EE6"/>
    <w:pPr>
      <w:jc w:val="left"/>
    </w:pPr>
    <w:rPr>
      <w:rFonts w:ascii="Times New Roman" w:cs="Times New Roman" w:hAnsi="Times New Roman" w:eastAsiaTheme="minorHAnsi"/>
      <w:lang w:eastAsia="es-MX"/>
    </w:rPr>
  </w:style>
  <w:style w:type="character" w:styleId="Mencinsinresolver10" w:customStyle="1">
    <w:name w:val="Mención sin resolver10"/>
    <w:basedOn w:val="Fuentedeprrafopredeter"/>
    <w:uiPriority w:val="99"/>
    <w:semiHidden w:val="1"/>
    <w:unhideWhenUsed w:val="1"/>
    <w:rsid w:val="000E2341"/>
    <w:rPr>
      <w:color w:val="605e5c"/>
      <w:shd w:color="auto" w:fill="e1dfdd" w:val="clear"/>
    </w:rPr>
  </w:style>
  <w:style w:type="character" w:styleId="Mencinsinresolver11" w:customStyle="1">
    <w:name w:val="Mención sin resolver11"/>
    <w:basedOn w:val="Fuentedeprrafopredeter"/>
    <w:uiPriority w:val="99"/>
    <w:semiHidden w:val="1"/>
    <w:unhideWhenUsed w:val="1"/>
    <w:rsid w:val="00770263"/>
    <w:rPr>
      <w:color w:val="605e5c"/>
      <w:shd w:color="auto" w:fill="e1dfdd" w:val="clear"/>
    </w:rPr>
  </w:style>
  <w:style w:type="character" w:styleId="Mencinsinresolver12" w:customStyle="1">
    <w:name w:val="Mención sin resolver12"/>
    <w:basedOn w:val="Fuentedeprrafopredeter"/>
    <w:uiPriority w:val="99"/>
    <w:semiHidden w:val="1"/>
    <w:unhideWhenUsed w:val="1"/>
    <w:rsid w:val="00937F79"/>
    <w:rPr>
      <w:color w:val="605e5c"/>
      <w:shd w:color="auto" w:fill="e1dfdd" w:val="clear"/>
    </w:rPr>
  </w:style>
  <w:style w:type="character" w:styleId="Mencinsinresolver13" w:customStyle="1">
    <w:name w:val="Mención sin resolver13"/>
    <w:basedOn w:val="Fuentedeprrafopredeter"/>
    <w:uiPriority w:val="99"/>
    <w:semiHidden w:val="1"/>
    <w:unhideWhenUsed w:val="1"/>
    <w:rsid w:val="00C70EA8"/>
    <w:rPr>
      <w:color w:val="605e5c"/>
      <w:shd w:color="auto" w:fill="e1dfdd" w:val="clear"/>
    </w:rPr>
  </w:style>
  <w:style w:type="paragraph" w:styleId="Prrafodelista1" w:customStyle="1">
    <w:name w:val="Párrafo de lista1"/>
    <w:basedOn w:val="Normal"/>
    <w:uiPriority w:val="34"/>
    <w:qFormat w:val="1"/>
    <w:rsid w:val="00436A28"/>
    <w:pPr>
      <w:spacing w:after="160" w:line="259" w:lineRule="auto"/>
      <w:ind w:left="720"/>
      <w:contextualSpacing w:val="1"/>
    </w:pPr>
    <w:rPr>
      <w:rFonts w:ascii="Calibri" w:eastAsia="Calibri" w:hAnsi="Calibri"/>
      <w:sz w:val="22"/>
      <w:szCs w:val="22"/>
    </w:rPr>
  </w:style>
  <w:style w:type="paragraph" w:styleId="Default" w:customStyle="1">
    <w:name w:val="Default"/>
    <w:rsid w:val="00071029"/>
    <w:pPr>
      <w:autoSpaceDE w:val="0"/>
      <w:autoSpaceDN w:val="0"/>
      <w:adjustRightInd w:val="0"/>
      <w:jc w:val="left"/>
    </w:pPr>
    <w:rPr>
      <w:rFonts w:ascii="Noto Sans" w:cs="Noto Sans" w:hAnsi="Noto Sans" w:eastAsiaTheme="minorHAnsi"/>
      <w:color w:val="000000"/>
    </w:rPr>
  </w:style>
  <w:style w:type="paragraph" w:styleId="Revisin">
    <w:name w:val="Revision"/>
    <w:hidden w:val="1"/>
    <w:uiPriority w:val="99"/>
    <w:semiHidden w:val="1"/>
    <w:rsid w:val="00187A84"/>
    <w:pPr>
      <w:jc w:val="left"/>
    </w:pPr>
  </w:style>
  <w:style w:type="character" w:styleId="Mencinsinresolver14" w:customStyle="1">
    <w:name w:val="Mención sin resolver14"/>
    <w:basedOn w:val="Fuentedeprrafopredeter"/>
    <w:uiPriority w:val="99"/>
    <w:semiHidden w:val="1"/>
    <w:unhideWhenUsed w:val="1"/>
    <w:rsid w:val="00BE2FFA"/>
    <w:rPr>
      <w:color w:val="605e5c"/>
      <w:shd w:color="auto" w:fill="e1dfdd" w:val="clear"/>
    </w:rPr>
  </w:style>
  <w:style w:type="character" w:styleId="Mencinsinresolver15" w:customStyle="1">
    <w:name w:val="Mención sin resolver15"/>
    <w:basedOn w:val="Fuentedeprrafopredeter"/>
    <w:uiPriority w:val="99"/>
    <w:semiHidden w:val="1"/>
    <w:unhideWhenUsed w:val="1"/>
    <w:rsid w:val="003232CA"/>
    <w:rPr>
      <w:color w:val="605e5c"/>
      <w:shd w:color="auto" w:fill="e1dfdd" w:val="clear"/>
    </w:rPr>
  </w:style>
  <w:style w:type="character" w:styleId="Mencinsinresolver16" w:customStyle="1">
    <w:name w:val="Mención sin resolver16"/>
    <w:basedOn w:val="Fuentedeprrafopredeter"/>
    <w:uiPriority w:val="99"/>
    <w:semiHidden w:val="1"/>
    <w:unhideWhenUsed w:val="1"/>
    <w:rsid w:val="002020D1"/>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Zm6ib3mTvLB92oTT63jAo5zfIA==">CgMxLjA4AHIhMUJPdWtNNEE0RDlJQ283aGNoUk9rQm5aUmtmMTZNX0hm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2026-10-04T18:56:00Z</dcterms:created>
  <dc:creator>Espinosa Esparza, Alberto</dc:creator>
</cp:coreProperties>
</file>